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微软雅黑" w:hAnsi="微软雅黑" w:eastAsia="微软雅黑"/>
          <w:b/>
          <w:color w:val="A40000"/>
          <w:sz w:val="30"/>
          <w:szCs w:val="30"/>
        </w:rPr>
      </w:pPr>
      <w:r>
        <w:rPr>
          <w:rFonts w:ascii="微软雅黑" w:hAnsi="微软雅黑" w:eastAsia="微软雅黑"/>
          <w:b/>
          <w:color w:val="A40000"/>
          <w:sz w:val="30"/>
          <w:szCs w:val="30"/>
        </w:rPr>
        <w:drawing>
          <wp:anchor distT="0" distB="0" distL="114300" distR="114300" simplePos="0" relativeHeight="251742208" behindDoc="0" locked="0" layoutInCell="1" allowOverlap="1">
            <wp:simplePos x="0" y="0"/>
            <wp:positionH relativeFrom="margin">
              <wp:posOffset>-685800</wp:posOffset>
            </wp:positionH>
            <wp:positionV relativeFrom="margin">
              <wp:posOffset>-911225</wp:posOffset>
            </wp:positionV>
            <wp:extent cx="7564120" cy="1069975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4120" cy="10699750"/>
                    </a:xfrm>
                    <a:prstGeom prst="rect">
                      <a:avLst/>
                    </a:prstGeom>
                    <a:noFill/>
                    <a:ln>
                      <a:noFill/>
                    </a:ln>
                  </pic:spPr>
                </pic:pic>
              </a:graphicData>
            </a:graphic>
          </wp:anchor>
        </w:drawing>
      </w:r>
      <w:r>
        <w:rPr>
          <w:rFonts w:ascii="微软雅黑" w:hAnsi="微软雅黑" w:eastAsia="微软雅黑"/>
          <w:b/>
          <w:color w:val="A40000"/>
          <w:sz w:val="30"/>
          <w:szCs w:val="30"/>
        </w:rPr>
        <mc:AlternateContent>
          <mc:Choice Requires="wps">
            <w:drawing>
              <wp:anchor distT="45720" distB="45720" distL="114300" distR="114300" simplePos="0" relativeHeight="251658240" behindDoc="0" locked="0" layoutInCell="1" allowOverlap="1">
                <wp:simplePos x="0" y="0"/>
                <wp:positionH relativeFrom="column">
                  <wp:align>center</wp:align>
                </wp:positionH>
                <wp:positionV relativeFrom="paragraph">
                  <wp:posOffset>182880</wp:posOffset>
                </wp:positionV>
                <wp:extent cx="2360930" cy="1404620"/>
                <wp:effectExtent l="0" t="0" r="20320" b="2540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r>
                              <w:rPr>
                                <w:rFonts w:hint="eastAsia"/>
                              </w:rPr>
                              <w:t>标杆房地产E</w:t>
                            </w:r>
                            <w:r>
                              <w:t>MBA</w:t>
                            </w:r>
                            <w:r>
                              <w:rPr>
                                <w:rFonts w:hint="eastAsia"/>
                              </w:rPr>
                              <w:t>高级总裁研修班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top:14.4pt;height:110.6pt;width:185.9pt;mso-position-horizontal:center;mso-wrap-distance-bottom:3.6pt;mso-wrap-distance-left:9pt;mso-wrap-distance-right:9pt;mso-wrap-distance-top:3.6pt;z-index:251658240;mso-width-relative:margin;mso-height-relative:margin;mso-width-percent:400;mso-height-percent:200;" fillcolor="#FFFFFF" filled="t" stroked="t" coordsize="21600,21600" o:gfxdata="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K6LLUAAAA&#10;BwEAAA8AAAAAAAAAAQAgAAAAIgAAAGRycy9kb3ducmV2LnhtbFBLAQIUABQAAAAIAIdO4kB02tKu&#10;IQIAADAEAAAOAAAAAAAAAAEAIAAAACMBAABkcnMvZTJvRG9jLnhtbFBLBQYAAAAABgAGAFkBAAC2&#10;BQAAAAA=&#10;">
                <v:fill on="t" focussize="0,0"/>
                <v:stroke color="#000000" miterlimit="8" joinstyle="miter"/>
                <v:imagedata o:title=""/>
                <o:lock v:ext="edit" aspectratio="f"/>
                <v:textbox style="mso-fit-shape-to-text:t;">
                  <w:txbxContent>
                    <w:p>
                      <w:r>
                        <w:rPr>
                          <w:rFonts w:hint="eastAsia"/>
                        </w:rPr>
                        <w:t>标杆房地产E</w:t>
                      </w:r>
                      <w:r>
                        <w:t>MBA</w:t>
                      </w:r>
                      <w:r>
                        <w:rPr>
                          <w:rFonts w:hint="eastAsia"/>
                        </w:rPr>
                        <w:t>高级总裁研修班</w:t>
                      </w:r>
                    </w:p>
                  </w:txbxContent>
                </v:textbox>
                <w10:wrap type="square"/>
              </v:shape>
            </w:pict>
          </mc:Fallback>
        </mc:AlternateContent>
      </w:r>
    </w:p>
    <w:p>
      <w:pPr>
        <w:jc w:val="left"/>
        <w:rPr>
          <w:rFonts w:ascii="微软雅黑" w:hAnsi="微软雅黑" w:eastAsia="微软雅黑"/>
          <w:b/>
          <w:color w:val="A40000"/>
          <w:sz w:val="30"/>
          <w:szCs w:val="30"/>
        </w:rPr>
      </w:pPr>
      <w:r>
        <w:rPr>
          <w:rFonts w:hint="eastAsia" w:ascii="微软雅黑" w:hAnsi="微软雅黑" w:eastAsia="微软雅黑"/>
          <w:b/>
          <w:color w:val="860000"/>
          <w:sz w:val="30"/>
          <w:szCs w:val="30"/>
        </w:rPr>
        <w:t>◆项目背景</w:t>
      </w:r>
    </w:p>
    <w:p>
      <w:pPr>
        <w:jc w:val="left"/>
        <w:rPr>
          <w:rFonts w:ascii="微软雅黑" w:hAnsi="微软雅黑" w:eastAsia="微软雅黑"/>
          <w:b/>
          <w:color w:val="A40000"/>
          <w:sz w:val="30"/>
          <w:szCs w:val="30"/>
        </w:rPr>
      </w:pPr>
      <w:r>
        <w:rPr>
          <w:rFonts w:ascii="微软雅黑" w:hAnsi="微软雅黑" w:eastAsia="微软雅黑"/>
          <w:b/>
          <w:color w:val="860000"/>
          <w:sz w:val="30"/>
          <w:szCs w:val="30"/>
        </w:rPr>
        <mc:AlternateContent>
          <mc:Choice Requires="wps">
            <w:drawing>
              <wp:anchor distT="0" distB="0" distL="114300" distR="114300" simplePos="0" relativeHeight="251739136" behindDoc="0" locked="0" layoutInCell="1" allowOverlap="1">
                <wp:simplePos x="0" y="0"/>
                <wp:positionH relativeFrom="column">
                  <wp:posOffset>-127000</wp:posOffset>
                </wp:positionH>
                <wp:positionV relativeFrom="paragraph">
                  <wp:posOffset>162560</wp:posOffset>
                </wp:positionV>
                <wp:extent cx="6449695" cy="3486150"/>
                <wp:effectExtent l="0" t="0" r="27305" b="19050"/>
                <wp:wrapNone/>
                <wp:docPr id="14" name="矩形: 圆角 14"/>
                <wp:cNvGraphicFramePr/>
                <a:graphic xmlns:a="http://schemas.openxmlformats.org/drawingml/2006/main">
                  <a:graphicData uri="http://schemas.microsoft.com/office/word/2010/wordprocessingShape">
                    <wps:wsp>
                      <wps:cNvSpPr/>
                      <wps:spPr>
                        <a:xfrm>
                          <a:off x="0" y="0"/>
                          <a:ext cx="6449890" cy="3486150"/>
                        </a:xfrm>
                        <a:prstGeom prst="roundRect">
                          <a:avLst/>
                        </a:prstGeom>
                        <a:noFill/>
                        <a:ln>
                          <a:solidFill>
                            <a:srgbClr val="8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4" o:spid="_x0000_s1026" o:spt="2" style="position:absolute;left:0pt;margin-left:-10pt;margin-top:12.8pt;height:274.5pt;width:507.85pt;z-index:251739136;v-text-anchor:middle;mso-width-relative:page;mso-height-relative:page;" filled="f" stroked="t" coordsize="21600,21600" arcsize="0.166666666666667" o:gfxdata="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YBMpdgAAAAKAQAADwAAAAAAAAABACAAAAAiAAAAZHJzL2Rvd25yZXYueG1sUEsBAhQAFAAA&#10;AAgAh07iQPpgiIxhAgAAjQQAAA4AAAAAAAAAAQAgAAAAJwEAAGRycy9lMm9Eb2MueG1sUEsFBgAA&#10;AAAGAAYAWQEAAPoFAAAAAA==&#10;">
                <v:fill on="f" focussize="0,0"/>
                <v:stroke weight="1pt" color="#860000 [3204]" miterlimit="8" joinstyle="miter"/>
                <v:imagedata o:title=""/>
                <o:lock v:ext="edit" aspectratio="f"/>
              </v:roundrect>
            </w:pict>
          </mc:Fallback>
        </mc:AlternateContent>
      </w:r>
    </w:p>
    <w:p>
      <w:pPr>
        <w:jc w:val="center"/>
        <w:rPr>
          <w:rFonts w:ascii="微软雅黑" w:hAnsi="微软雅黑" w:eastAsia="微软雅黑"/>
          <w:b/>
          <w:color w:val="000000" w:themeColor="text1"/>
          <w:spacing w:val="20"/>
          <w:sz w:val="24"/>
          <w:szCs w:val="21"/>
          <w:shd w:val="pct10" w:color="auto" w:fill="FFFFFF"/>
          <w14:textFill>
            <w14:solidFill>
              <w14:schemeClr w14:val="tx1"/>
            </w14:solidFill>
          </w14:textFill>
        </w:rPr>
      </w:pPr>
      <w:r>
        <w:rPr>
          <w:rFonts w:hint="eastAsia" w:ascii="微软雅黑" w:hAnsi="微软雅黑" w:eastAsia="微软雅黑"/>
          <w:b/>
          <w:color w:val="000000" w:themeColor="text1"/>
          <w:spacing w:val="20"/>
          <w:sz w:val="24"/>
          <w:szCs w:val="21"/>
          <w:shd w:val="pct10" w:color="auto" w:fill="FFFFFF"/>
          <w14:textFill>
            <w14:solidFill>
              <w14:schemeClr w14:val="tx1"/>
            </w14:solidFill>
          </w14:textFill>
        </w:rPr>
        <w:t xml:space="preserve"> 发展型房企业绩承压生存堪忧 </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全球货币通缩              </w:t>
      </w:r>
      <w:r>
        <w:rPr>
          <w:rFonts w:hint="eastAsia" w:ascii="MS Gothic" w:hAnsi="MS Gothic" w:eastAsia="MS Gothic" w:cs="MS Gothic"/>
          <w:sz w:val="24"/>
          <w:szCs w:val="24"/>
        </w:rPr>
        <w:t>◆</w:t>
      </w:r>
      <w:r>
        <w:rPr>
          <w:rFonts w:hint="eastAsia" w:ascii="微软雅黑" w:hAnsi="微软雅黑" w:eastAsia="微软雅黑"/>
          <w:sz w:val="24"/>
          <w:szCs w:val="24"/>
        </w:rPr>
        <w:t xml:space="preserve">中国经济转型             </w:t>
      </w:r>
      <w:r>
        <w:rPr>
          <w:rFonts w:hint="eastAsia" w:ascii="MS Gothic" w:hAnsi="MS Gothic" w:eastAsia="MS Gothic" w:cs="MS Gothic"/>
          <w:sz w:val="24"/>
          <w:szCs w:val="24"/>
        </w:rPr>
        <w:t>◆</w:t>
      </w:r>
      <w:r>
        <w:rPr>
          <w:rFonts w:hint="eastAsia" w:ascii="微软雅黑" w:hAnsi="微软雅黑" w:eastAsia="微软雅黑"/>
          <w:sz w:val="24"/>
          <w:szCs w:val="24"/>
        </w:rPr>
        <w:t>新型政商关系建立</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需求下滑与供给侧改革      </w:t>
      </w:r>
      <w:r>
        <w:rPr>
          <w:rFonts w:hint="eastAsia" w:ascii="MS Gothic" w:hAnsi="MS Gothic" w:eastAsia="MS Gothic" w:cs="MS Gothic"/>
          <w:sz w:val="24"/>
          <w:szCs w:val="24"/>
        </w:rPr>
        <w:t>◆</w:t>
      </w:r>
      <w:r>
        <w:rPr>
          <w:rFonts w:hint="eastAsia" w:ascii="微软雅黑" w:hAnsi="微软雅黑" w:eastAsia="微软雅黑"/>
          <w:sz w:val="24"/>
          <w:szCs w:val="24"/>
        </w:rPr>
        <w:t xml:space="preserve">居民举债能力日趋见顶     </w:t>
      </w:r>
      <w:r>
        <w:rPr>
          <w:rFonts w:hint="eastAsia" w:ascii="MS Gothic" w:hAnsi="MS Gothic" w:eastAsia="MS Gothic" w:cs="MS Gothic"/>
          <w:sz w:val="24"/>
          <w:szCs w:val="24"/>
        </w:rPr>
        <w:t>◆</w:t>
      </w:r>
      <w:r>
        <w:rPr>
          <w:rFonts w:hint="eastAsia" w:ascii="微软雅黑" w:hAnsi="微软雅黑" w:eastAsia="微软雅黑"/>
          <w:sz w:val="24"/>
          <w:szCs w:val="24"/>
        </w:rPr>
        <w:t>房地产调控政策连续稳定</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房地产融资渠道不断收窄    </w:t>
      </w:r>
      <w:r>
        <w:rPr>
          <w:rFonts w:hint="eastAsia" w:ascii="MS Gothic" w:hAnsi="MS Gothic" w:eastAsia="MS Gothic" w:cs="MS Gothic"/>
          <w:sz w:val="24"/>
          <w:szCs w:val="24"/>
        </w:rPr>
        <w:t>◆</w:t>
      </w:r>
      <w:r>
        <w:rPr>
          <w:rFonts w:hint="eastAsia" w:ascii="微软雅黑" w:hAnsi="微软雅黑" w:eastAsia="微软雅黑"/>
          <w:sz w:val="24"/>
          <w:szCs w:val="24"/>
        </w:rPr>
        <w:t xml:space="preserve">楼市洗牌，大开发商时代开启            </w:t>
      </w:r>
      <w:r>
        <w:rPr>
          <w:rFonts w:hint="eastAsia" w:ascii="微软雅黑" w:hAnsi="微软雅黑" w:eastAsia="微软雅黑"/>
          <w:szCs w:val="21"/>
        </w:rPr>
        <w:t xml:space="preserve">            </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多渠道低成本的获取土地？</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多渠道低成本的获取资金？</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打通企业生命通道提升盈利能力？</w:t>
      </w:r>
    </w:p>
    <w:p>
      <w:pPr>
        <w:ind w:firstLine="280" w:firstLineChars="100"/>
        <w:jc w:val="left"/>
        <w:rPr>
          <w:rFonts w:ascii="微软雅黑" w:hAnsi="微软雅黑" w:eastAsia="微软雅黑"/>
          <w:b/>
          <w:sz w:val="28"/>
          <w:szCs w:val="21"/>
        </w:rPr>
      </w:pPr>
      <w:r>
        <w:rPr>
          <w:rFonts w:hint="eastAsia" w:ascii="微软雅黑" w:hAnsi="微软雅黑" w:eastAsia="微软雅黑"/>
          <w:b/>
          <w:sz w:val="28"/>
          <w:szCs w:val="21"/>
        </w:rPr>
        <w:t>已经成为摆在当下发展型房企面前的三大命题</w:t>
      </w:r>
    </w:p>
    <w:p>
      <w:pPr>
        <w:jc w:val="left"/>
        <w:rPr>
          <w:rFonts w:ascii="微软雅黑" w:hAnsi="微软雅黑" w:eastAsia="微软雅黑"/>
          <w:szCs w:val="21"/>
        </w:rPr>
      </w:pPr>
    </w:p>
    <w:p>
      <w:pPr>
        <w:jc w:val="center"/>
        <w:rPr>
          <w:rFonts w:ascii="微软雅黑" w:hAnsi="微软雅黑" w:eastAsia="微软雅黑"/>
          <w:b/>
          <w:color w:val="000000" w:themeColor="text1"/>
          <w:spacing w:val="20"/>
          <w:sz w:val="24"/>
          <w:szCs w:val="21"/>
          <w:shd w:val="pct10" w:color="auto" w:fill="FFFFFF"/>
          <w14:textFill>
            <w14:solidFill>
              <w14:schemeClr w14:val="tx1"/>
            </w14:solidFill>
          </w14:textFill>
        </w:rPr>
      </w:pPr>
      <w:r>
        <w:rPr>
          <w:rFonts w:ascii="微软雅黑" w:hAnsi="微软雅黑" w:eastAsia="微软雅黑"/>
          <w:color w:val="000000" w:themeColor="text1"/>
          <w:szCs w:val="21"/>
          <w:shd w:val="pct10" w:color="auto" w:fill="FFFFFF"/>
          <w14:textFill>
            <w14:solidFill>
              <w14:schemeClr w14:val="tx1"/>
            </w14:solidFill>
          </w14:textFill>
        </w:rPr>
        <w:drawing>
          <wp:anchor distT="0" distB="0" distL="114300" distR="114300" simplePos="0" relativeHeight="251587584" behindDoc="0" locked="0" layoutInCell="1" allowOverlap="1">
            <wp:simplePos x="0" y="0"/>
            <wp:positionH relativeFrom="margin">
              <wp:align>left</wp:align>
            </wp:positionH>
            <wp:positionV relativeFrom="paragraph">
              <wp:posOffset>551815</wp:posOffset>
            </wp:positionV>
            <wp:extent cx="6069965" cy="1428750"/>
            <wp:effectExtent l="0" t="0" r="6985" b="0"/>
            <wp:wrapSquare wrapText="bothSides"/>
            <wp:docPr id="7" name="图片 7" descr="E:\郭莉工作文件夹\fd798d327d4835a819bd97944ed58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郭莉工作文件夹\fd798d327d4835a819bd97944ed585b3.jpg"/>
                    <pic:cNvPicPr>
                      <a:picLocks noChangeAspect="1" noChangeArrowheads="1"/>
                    </pic:cNvPicPr>
                  </pic:nvPicPr>
                  <pic:blipFill>
                    <a:blip r:embed="rId7">
                      <a:extLst>
                        <a:ext uri="{28A0092B-C50C-407E-A947-70E740481C1C}">
                          <a14:useLocalDpi xmlns:a14="http://schemas.microsoft.com/office/drawing/2010/main" val="0"/>
                        </a:ext>
                      </a:extLst>
                    </a:blip>
                    <a:srcRect t="15325" b="42505"/>
                    <a:stretch>
                      <a:fillRect/>
                    </a:stretch>
                  </pic:blipFill>
                  <pic:spPr>
                    <a:xfrm>
                      <a:off x="0" y="0"/>
                      <a:ext cx="6069965" cy="1428750"/>
                    </a:xfrm>
                    <a:prstGeom prst="rect">
                      <a:avLst/>
                    </a:prstGeom>
                    <a:noFill/>
                    <a:ln>
                      <a:noFill/>
                    </a:ln>
                  </pic:spPr>
                </pic:pic>
              </a:graphicData>
            </a:graphic>
          </wp:anchor>
        </w:drawing>
      </w:r>
      <w:r>
        <w:rPr>
          <w:rFonts w:hint="eastAsia" w:ascii="微软雅黑" w:hAnsi="微软雅黑" w:eastAsia="微软雅黑"/>
          <w:b/>
          <w:color w:val="000000" w:themeColor="text1"/>
          <w:spacing w:val="20"/>
          <w:sz w:val="24"/>
          <w:szCs w:val="21"/>
          <w:shd w:val="pct10" w:color="auto" w:fill="FFFFFF"/>
          <w14:textFill>
            <w14:solidFill>
              <w14:schemeClr w14:val="tx1"/>
            </w14:solidFill>
          </w14:textFill>
        </w:rPr>
        <w:t xml:space="preserve"> 百年学府沉淀、十年地产耕耘 </w:t>
      </w:r>
    </w:p>
    <w:p>
      <w:pPr>
        <w:spacing w:line="500" w:lineRule="exact"/>
        <w:jc w:val="left"/>
        <w:rPr>
          <w:rFonts w:ascii="微软雅黑" w:hAnsi="微软雅黑" w:eastAsia="微软雅黑"/>
          <w:b/>
          <w:szCs w:val="21"/>
        </w:rPr>
      </w:pPr>
      <w:r>
        <w:rPr>
          <w:rFonts w:hint="eastAsia" w:ascii="微软雅黑" w:hAnsi="微软雅黑" w:eastAsia="微软雅黑"/>
          <w:b/>
          <w:szCs w:val="21"/>
        </w:rPr>
        <w:t>2</w:t>
      </w:r>
      <w:r>
        <w:rPr>
          <w:rFonts w:ascii="微软雅黑" w:hAnsi="微软雅黑" w:eastAsia="微软雅黑"/>
          <w:b/>
          <w:szCs w:val="21"/>
        </w:rPr>
        <w:t>008</w:t>
      </w:r>
      <w:r>
        <w:rPr>
          <w:rFonts w:hint="eastAsia" w:ascii="微软雅黑" w:hAnsi="微软雅黑" w:eastAsia="微软雅黑"/>
          <w:b/>
          <w:szCs w:val="21"/>
        </w:rPr>
        <w:t>年</w:t>
      </w:r>
      <w:r>
        <w:rPr>
          <w:rFonts w:hint="eastAsia" w:ascii="微软雅黑" w:hAnsi="微软雅黑" w:eastAsia="微软雅黑"/>
          <w:szCs w:val="21"/>
        </w:rPr>
        <w:t>高景亚太布局房地产培训业务、先后在山东、河南、河北等省开设房地产专业培训课程。</w:t>
      </w:r>
    </w:p>
    <w:p>
      <w:pPr>
        <w:spacing w:line="500" w:lineRule="exact"/>
        <w:jc w:val="left"/>
        <w:rPr>
          <w:rFonts w:ascii="微软雅黑" w:hAnsi="微软雅黑" w:eastAsia="微软雅黑"/>
          <w:szCs w:val="21"/>
        </w:rPr>
      </w:pPr>
      <w:r>
        <w:rPr>
          <w:rFonts w:hint="eastAsia" w:ascii="微软雅黑" w:hAnsi="微软雅黑" w:eastAsia="微软雅黑"/>
          <w:b/>
          <w:szCs w:val="21"/>
        </w:rPr>
        <w:t>2014年</w:t>
      </w:r>
      <w:r>
        <w:rPr>
          <w:rFonts w:hint="eastAsia" w:ascii="微软雅黑" w:hAnsi="微软雅黑" w:eastAsia="微软雅黑"/>
          <w:szCs w:val="21"/>
        </w:rPr>
        <w:t>北大秉承兼容并包的学术思想，在国内首开先河，根植于房地产细分行业，以标杆企业高管为教学主体，开设《北京大学标杆房地产全流程精细化管理研修班》打造了房地产总裁培训行业第一品牌。</w:t>
      </w:r>
    </w:p>
    <w:p>
      <w:pPr>
        <w:spacing w:line="500" w:lineRule="exact"/>
        <w:jc w:val="left"/>
        <w:rPr>
          <w:rFonts w:ascii="微软雅黑" w:hAnsi="微软雅黑" w:eastAsia="微软雅黑"/>
          <w:szCs w:val="21"/>
        </w:rPr>
      </w:pPr>
      <w:r>
        <w:rPr>
          <w:rFonts w:hint="eastAsia" w:ascii="微软雅黑" w:hAnsi="微软雅黑" w:eastAsia="微软雅黑"/>
          <w:b/>
          <w:szCs w:val="21"/>
        </w:rPr>
        <w:t>2</w:t>
      </w:r>
      <w:r>
        <w:rPr>
          <w:rFonts w:ascii="微软雅黑" w:hAnsi="微软雅黑" w:eastAsia="微软雅黑"/>
          <w:b/>
          <w:szCs w:val="21"/>
        </w:rPr>
        <w:t>01</w:t>
      </w:r>
      <w:r>
        <w:rPr>
          <w:rFonts w:hint="eastAsia" w:ascii="微软雅黑" w:hAnsi="微软雅黑" w:eastAsia="微软雅黑"/>
          <w:b/>
          <w:szCs w:val="21"/>
        </w:rPr>
        <w:t>6年</w:t>
      </w:r>
      <w:r>
        <w:rPr>
          <w:rFonts w:hint="eastAsia" w:ascii="微软雅黑" w:hAnsi="微软雅黑" w:eastAsia="微软雅黑"/>
          <w:szCs w:val="21"/>
        </w:rPr>
        <w:t>原项目高管联合万科、万达、恒大、碧桂园等标杆企业高管共同成立了高景亚太房地产智力服务平台，为房企提供培训、咨询、金融等全方位服务。</w:t>
      </w:r>
    </w:p>
    <w:p>
      <w:pPr>
        <w:spacing w:line="500" w:lineRule="exact"/>
        <w:jc w:val="left"/>
        <w:rPr>
          <w:rFonts w:ascii="微软雅黑" w:hAnsi="微软雅黑" w:eastAsia="微软雅黑"/>
          <w:szCs w:val="21"/>
        </w:rPr>
      </w:pPr>
      <w:r>
        <w:rPr>
          <w:rFonts w:hint="eastAsia" w:ascii="微软雅黑" w:hAnsi="微软雅黑" w:eastAsia="微软雅黑"/>
          <w:b/>
          <w:szCs w:val="21"/>
        </w:rPr>
        <w:t>2018年</w:t>
      </w:r>
      <w:r>
        <w:rPr>
          <w:rFonts w:hint="eastAsia" w:ascii="微软雅黑" w:hAnsi="微软雅黑" w:eastAsia="微软雅黑"/>
          <w:szCs w:val="21"/>
        </w:rPr>
        <w:t>项目再度全新升级，以解决企业三大问题（土地、资金、盈利能力）为核心，以提高企业净资产收益率为目标，全新升级为《标杆地产E</w:t>
      </w:r>
      <w:r>
        <w:rPr>
          <w:rFonts w:ascii="微软雅黑" w:hAnsi="微软雅黑" w:eastAsia="微软雅黑"/>
          <w:szCs w:val="21"/>
        </w:rPr>
        <w:t>MBA</w:t>
      </w:r>
      <w:r>
        <w:rPr>
          <w:rFonts w:hint="eastAsia" w:ascii="微软雅黑" w:hAnsi="微软雅黑" w:eastAsia="微软雅黑"/>
          <w:szCs w:val="21"/>
        </w:rPr>
        <w:t>高级总裁研修班》倾力打造国内最实用的房地产培训项目。</w:t>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◆项目收益</w:t>
      </w:r>
    </w:p>
    <w:p>
      <w:pPr>
        <w:tabs>
          <w:tab w:val="left" w:pos="2020"/>
        </w:tabs>
        <w:jc w:val="center"/>
        <w:rPr>
          <w:b/>
        </w:rPr>
      </w:pPr>
    </w:p>
    <w:p>
      <w:pPr>
        <w:tabs>
          <w:tab w:val="left" w:pos="2020"/>
        </w:tabs>
      </w:pPr>
    </w:p>
    <w:p>
      <w:pPr>
        <w:tabs>
          <w:tab w:val="left" w:pos="2020"/>
        </w:tabs>
        <w:jc w:val="center"/>
        <w:rPr>
          <w:b/>
          <w:color w:val="FF0000"/>
        </w:rPr>
      </w:pPr>
      <w:r>
        <w:rPr>
          <w:b/>
        </w:rPr>
        <w:drawing>
          <wp:inline distT="0" distB="0" distL="0" distR="0">
            <wp:extent cx="5248910" cy="38100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l="7436" r="7609"/>
                    <a:stretch>
                      <a:fillRect/>
                    </a:stretch>
                  </pic:blipFill>
                  <pic:spPr>
                    <a:xfrm>
                      <a:off x="0" y="0"/>
                      <a:ext cx="5263771" cy="3820341"/>
                    </a:xfrm>
                    <a:prstGeom prst="rect">
                      <a:avLst/>
                    </a:prstGeom>
                    <a:noFill/>
                    <a:ln>
                      <a:noFill/>
                    </a:ln>
                  </pic:spPr>
                </pic:pic>
              </a:graphicData>
            </a:graphic>
          </wp:inline>
        </w:drawing>
      </w:r>
    </w:p>
    <w:p>
      <w:pPr>
        <w:tabs>
          <w:tab w:val="left" w:pos="2020"/>
        </w:tabs>
        <w:rPr>
          <w:b/>
          <w:color w:val="FF0000"/>
        </w:rPr>
      </w:pPr>
    </w:p>
    <w:p>
      <w:pPr>
        <w:tabs>
          <w:tab w:val="left" w:pos="2020"/>
        </w:tabs>
        <w:jc w:val="center"/>
        <w:rPr>
          <w:b/>
          <w:color w:val="FF0000"/>
        </w:rPr>
      </w:pPr>
      <w:r>
        <w:drawing>
          <wp:inline distT="0" distB="0" distL="0" distR="0">
            <wp:extent cx="6170295" cy="350774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70773" cy="3508109"/>
                    </a:xfrm>
                    <a:prstGeom prst="rect">
                      <a:avLst/>
                    </a:prstGeom>
                  </pic:spPr>
                </pic:pic>
              </a:graphicData>
            </a:graphic>
          </wp:inline>
        </w:drawing>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◆课程内容</w:t>
      </w:r>
    </w:p>
    <w:p>
      <w:pPr>
        <w:spacing w:line="500" w:lineRule="exact"/>
        <w:jc w:val="left"/>
      </w:pPr>
      <w:r>
        <w:rPr>
          <w:rFonts w:hint="eastAsia" w:ascii="微软雅黑" w:hAnsi="微软雅黑" w:eastAsia="微软雅黑"/>
          <w:szCs w:val="21"/>
        </w:rPr>
        <w:t>顺应新时期宏观经济与政策形势，围绕房地产行业三大关键要素——钱、地、人和企业盈利能力关键指标——净资产收益率（ROE）提升逻辑，全新打造房地产企业全流程管理知识体系，并结合标杆企业实战经验锻造房地产企业家实战运营能力，培养房地产顶层管理梯队。</w:t>
      </w:r>
    </w:p>
    <w:p>
      <w:pPr>
        <w:tabs>
          <w:tab w:val="left" w:pos="2020"/>
        </w:tabs>
      </w:pPr>
    </w:p>
    <w:p>
      <w:pPr>
        <w:jc w:val="center"/>
      </w:pPr>
      <w:r>
        <w:drawing>
          <wp:inline distT="0" distB="0" distL="0" distR="0">
            <wp:extent cx="6124575" cy="3797935"/>
            <wp:effectExtent l="0" t="0" r="952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8917" cy="3800700"/>
                    </a:xfrm>
                    <a:prstGeom prst="rect">
                      <a:avLst/>
                    </a:prstGeom>
                  </pic:spPr>
                </pic:pic>
              </a:graphicData>
            </a:graphic>
          </wp:inline>
        </w:drawing>
      </w:r>
    </w:p>
    <w:p/>
    <w:p>
      <w:pPr>
        <w:ind w:firstLine="141" w:firstLineChars="47"/>
        <w:rPr>
          <w:rFonts w:ascii="微软雅黑" w:hAnsi="微软雅黑" w:eastAsia="微软雅黑"/>
          <w:b/>
          <w:color w:val="860000"/>
          <w:sz w:val="30"/>
          <w:szCs w:val="30"/>
        </w:rPr>
      </w:pPr>
      <w:r>
        <w:rPr>
          <w:rFonts w:hint="eastAsia" w:ascii="微软雅黑" w:hAnsi="微软雅黑" w:eastAsia="微软雅黑"/>
          <w:b/>
          <w:color w:val="860000"/>
          <w:sz w:val="30"/>
          <w:szCs w:val="30"/>
        </w:rPr>
        <w:t>◆课程大纲</w:t>
      </w:r>
    </w:p>
    <w:tbl>
      <w:tblPr>
        <w:tblStyle w:val="12"/>
        <w:tblW w:w="9962"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F7F7F7"/>
        <w:tblLayout w:type="fixed"/>
        <w:tblCellMar>
          <w:top w:w="0" w:type="dxa"/>
          <w:left w:w="108" w:type="dxa"/>
          <w:bottom w:w="0" w:type="dxa"/>
          <w:right w:w="108" w:type="dxa"/>
        </w:tblCellMar>
      </w:tblPr>
      <w:tblGrid>
        <w:gridCol w:w="4744"/>
        <w:gridCol w:w="521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F7F7F7"/>
          <w:tblLayout w:type="fixed"/>
          <w:tblCellMar>
            <w:top w:w="0" w:type="dxa"/>
            <w:left w:w="108" w:type="dxa"/>
            <w:bottom w:w="0" w:type="dxa"/>
            <w:right w:w="108" w:type="dxa"/>
          </w:tblCellMar>
        </w:tblPrEx>
        <w:trPr>
          <w:trHeight w:val="286"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标杆地产之“战略篇”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42" w:hRule="atLeast"/>
          <w:jc w:val="center"/>
        </w:trPr>
        <w:tc>
          <w:tcPr>
            <w:tcW w:w="4744" w:type="dxa"/>
            <w:tcBorders>
              <w:bottom w:val="double" w:color="auto" w:sz="4" w:space="0"/>
            </w:tcBorders>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宏观经济形势</w:t>
            </w:r>
          </w:p>
          <w:p>
            <w:pPr>
              <w:spacing w:line="400" w:lineRule="exact"/>
              <w:jc w:val="left"/>
              <w:rPr>
                <w:rFonts w:ascii="微软雅黑" w:hAnsi="微软雅黑" w:eastAsia="微软雅黑"/>
                <w:szCs w:val="21"/>
              </w:rPr>
            </w:pPr>
            <w:r>
              <w:rPr>
                <w:rFonts w:hint="eastAsia" w:ascii="微软雅黑" w:hAnsi="微软雅黑" w:eastAsia="微软雅黑"/>
                <w:szCs w:val="21"/>
              </w:rPr>
              <w:t>全球货币通缩与房地产调控政策的关系</w:t>
            </w:r>
          </w:p>
          <w:p>
            <w:pPr>
              <w:spacing w:line="400" w:lineRule="exact"/>
              <w:jc w:val="left"/>
              <w:rPr>
                <w:rFonts w:ascii="微软雅黑" w:hAnsi="微软雅黑" w:eastAsia="微软雅黑"/>
                <w:szCs w:val="21"/>
              </w:rPr>
            </w:pPr>
            <w:r>
              <w:rPr>
                <w:rFonts w:hint="eastAsia" w:ascii="微软雅黑" w:hAnsi="微软雅黑" w:eastAsia="微软雅黑"/>
                <w:szCs w:val="21"/>
              </w:rPr>
              <w:t>外汇储备与房地产调控政策的关系</w:t>
            </w:r>
          </w:p>
          <w:p>
            <w:pPr>
              <w:spacing w:line="400" w:lineRule="exact"/>
              <w:jc w:val="left"/>
              <w:rPr>
                <w:rFonts w:ascii="微软雅黑" w:hAnsi="微软雅黑" w:eastAsia="微软雅黑"/>
                <w:szCs w:val="21"/>
              </w:rPr>
            </w:pPr>
            <w:r>
              <w:rPr>
                <w:rFonts w:hint="eastAsia" w:ascii="微软雅黑" w:hAnsi="微软雅黑" w:eastAsia="微软雅黑"/>
                <w:szCs w:val="21"/>
              </w:rPr>
              <w:t>城市化率对房地产市场的周期影响</w:t>
            </w:r>
          </w:p>
          <w:p>
            <w:pPr>
              <w:spacing w:line="400" w:lineRule="exact"/>
              <w:jc w:val="left"/>
              <w:rPr>
                <w:rFonts w:ascii="微软雅黑" w:hAnsi="微软雅黑" w:eastAsia="微软雅黑"/>
                <w:szCs w:val="21"/>
              </w:rPr>
            </w:pPr>
            <w:r>
              <w:rPr>
                <w:rFonts w:hint="eastAsia" w:ascii="微软雅黑" w:hAnsi="微软雅黑" w:eastAsia="微软雅黑"/>
                <w:szCs w:val="21"/>
              </w:rPr>
              <w:t>“长期看人口”对房地产影响的因素</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 “十九”大后房地产走势分析</w:t>
            </w:r>
          </w:p>
          <w:p>
            <w:pPr>
              <w:spacing w:line="400" w:lineRule="exact"/>
              <w:jc w:val="left"/>
              <w:rPr>
                <w:rFonts w:ascii="微软雅黑" w:hAnsi="微软雅黑" w:eastAsia="微软雅黑"/>
                <w:szCs w:val="21"/>
              </w:rPr>
            </w:pPr>
            <w:r>
              <w:rPr>
                <w:rFonts w:hint="eastAsia" w:ascii="微软雅黑" w:hAnsi="微软雅黑" w:eastAsia="微软雅黑"/>
                <w:szCs w:val="21"/>
              </w:rPr>
              <w:t>“两会”后对中国房地产的政策影响</w:t>
            </w:r>
          </w:p>
          <w:p>
            <w:pPr>
              <w:spacing w:line="400" w:lineRule="exact"/>
              <w:jc w:val="left"/>
              <w:rPr>
                <w:rFonts w:ascii="微软雅黑" w:hAnsi="微软雅黑" w:eastAsia="微软雅黑"/>
                <w:szCs w:val="21"/>
              </w:rPr>
            </w:pPr>
            <w:r>
              <w:rPr>
                <w:rFonts w:hint="eastAsia" w:ascii="微软雅黑" w:hAnsi="微软雅黑" w:eastAsia="微软雅黑"/>
                <w:szCs w:val="21"/>
              </w:rPr>
              <w:t>一带一路的机遇与挑战</w:t>
            </w:r>
          </w:p>
          <w:p>
            <w:pPr>
              <w:spacing w:line="400" w:lineRule="exact"/>
              <w:jc w:val="left"/>
              <w:rPr>
                <w:rFonts w:ascii="宋体" w:hAnsi="宋体"/>
                <w:kern w:val="0"/>
                <w:lang w:val="zh-CN"/>
              </w:rPr>
            </w:pPr>
            <w:r>
              <w:rPr>
                <w:rFonts w:hint="eastAsia" w:ascii="微软雅黑" w:hAnsi="微软雅黑" w:eastAsia="微软雅黑"/>
                <w:szCs w:val="21"/>
              </w:rPr>
              <w:t>房地产长效机制研判与发展商机</w:t>
            </w:r>
          </w:p>
        </w:tc>
        <w:tc>
          <w:tcPr>
            <w:tcW w:w="5218" w:type="dxa"/>
            <w:tcBorders>
              <w:bottom w:val="double" w:color="auto" w:sz="4" w:space="0"/>
            </w:tcBorders>
            <w:shd w:val="clear" w:color="auto" w:fill="F7F7F7"/>
          </w:tcPr>
          <w:p>
            <w:pPr>
              <w:widowControl/>
              <w:tabs>
                <w:tab w:val="left" w:pos="8640"/>
              </w:tabs>
              <w:spacing w:line="400" w:lineRule="exact"/>
              <w:jc w:val="left"/>
              <w:rPr>
                <w:rFonts w:ascii="微软雅黑" w:hAnsi="微软雅黑" w:eastAsia="微软雅黑"/>
                <w:b/>
                <w:color w:val="860000"/>
                <w:kern w:val="0"/>
              </w:rPr>
            </w:pPr>
            <w:r>
              <w:rPr>
                <w:rFonts w:hint="eastAsia" w:ascii="微软雅黑" w:hAnsi="微软雅黑" w:eastAsia="微软雅黑"/>
                <w:b/>
                <w:color w:val="860000"/>
                <w:kern w:val="0"/>
              </w:rPr>
              <w:t>战略顶层设计</w:t>
            </w:r>
          </w:p>
          <w:p>
            <w:pPr>
              <w:spacing w:line="400" w:lineRule="exact"/>
              <w:jc w:val="left"/>
              <w:rPr>
                <w:rFonts w:ascii="微软雅黑" w:hAnsi="微软雅黑" w:eastAsia="微软雅黑"/>
                <w:szCs w:val="21"/>
              </w:rPr>
            </w:pPr>
            <w:r>
              <w:rPr>
                <w:rFonts w:hint="eastAsia" w:ascii="微软雅黑" w:hAnsi="微软雅黑" w:eastAsia="微软雅黑"/>
                <w:szCs w:val="21"/>
              </w:rPr>
              <w:t>房地产战略与商业模式创新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新时期房地产企业战略转型的五大机遇</w:t>
            </w:r>
          </w:p>
          <w:p>
            <w:pPr>
              <w:spacing w:line="400" w:lineRule="exact"/>
              <w:jc w:val="left"/>
              <w:rPr>
                <w:rFonts w:ascii="微软雅黑" w:hAnsi="微软雅黑" w:eastAsia="微软雅黑"/>
                <w:szCs w:val="21"/>
              </w:rPr>
            </w:pPr>
            <w:r>
              <w:rPr>
                <w:rFonts w:hint="eastAsia" w:ascii="微软雅黑" w:hAnsi="微软雅黑" w:eastAsia="微软雅黑"/>
                <w:szCs w:val="21"/>
              </w:rPr>
              <w:t>企业盈利能力顶层设计“十”字法</w:t>
            </w:r>
          </w:p>
          <w:p>
            <w:pPr>
              <w:spacing w:line="400" w:lineRule="exact"/>
              <w:jc w:val="left"/>
              <w:rPr>
                <w:rFonts w:ascii="微软雅黑" w:hAnsi="微软雅黑" w:eastAsia="微软雅黑"/>
                <w:szCs w:val="21"/>
              </w:rPr>
            </w:pPr>
            <w:r>
              <w:rPr>
                <w:rFonts w:hint="eastAsia" w:ascii="微软雅黑" w:hAnsi="微软雅黑" w:eastAsia="微软雅黑"/>
                <w:szCs w:val="21"/>
              </w:rPr>
              <w:t>打造全局的掌控能力和科学的经营思维</w:t>
            </w:r>
          </w:p>
          <w:p>
            <w:pPr>
              <w:spacing w:line="400" w:lineRule="exact"/>
              <w:jc w:val="left"/>
              <w:rPr>
                <w:rFonts w:ascii="微软雅黑" w:hAnsi="微软雅黑" w:eastAsia="微软雅黑"/>
                <w:szCs w:val="21"/>
              </w:rPr>
            </w:pPr>
            <w:r>
              <w:rPr>
                <w:rFonts w:hint="eastAsia" w:ascii="微软雅黑" w:hAnsi="微软雅黑" w:eastAsia="微软雅黑"/>
                <w:szCs w:val="21"/>
              </w:rPr>
              <w:t>战略转型下的组织变革与经营团队再造</w:t>
            </w:r>
          </w:p>
          <w:p>
            <w:pPr>
              <w:spacing w:line="400" w:lineRule="exact"/>
              <w:jc w:val="left"/>
              <w:rPr>
                <w:rFonts w:ascii="微软雅黑" w:hAnsi="微软雅黑" w:eastAsia="微软雅黑"/>
                <w:szCs w:val="21"/>
              </w:rPr>
            </w:pPr>
            <w:r>
              <w:rPr>
                <w:rFonts w:hint="eastAsia" w:ascii="微软雅黑" w:hAnsi="微软雅黑" w:eastAsia="微软雅黑"/>
                <w:szCs w:val="21"/>
              </w:rPr>
              <w:t>新形式下房地产战略调整与变革</w:t>
            </w:r>
          </w:p>
          <w:p>
            <w:pPr>
              <w:spacing w:line="400" w:lineRule="exact"/>
              <w:jc w:val="left"/>
              <w:rPr>
                <w:rFonts w:ascii="微软雅黑" w:hAnsi="微软雅黑" w:eastAsia="微软雅黑"/>
                <w:szCs w:val="21"/>
              </w:rPr>
            </w:pPr>
            <w:r>
              <w:rPr>
                <w:rFonts w:hint="eastAsia" w:ascii="微软雅黑" w:hAnsi="微软雅黑" w:eastAsia="微软雅黑"/>
                <w:szCs w:val="21"/>
              </w:rPr>
              <w:t>大并购时代下的组织变革与班子建设</w:t>
            </w:r>
          </w:p>
          <w:p>
            <w:pPr>
              <w:spacing w:line="400" w:lineRule="exact"/>
              <w:jc w:val="left"/>
              <w:rPr>
                <w:rFonts w:ascii="宋体" w:hAnsi="宋体"/>
                <w:kern w:val="0"/>
                <w:lang w:val="zh-CN"/>
              </w:rPr>
            </w:pPr>
            <w:r>
              <w:rPr>
                <w:rFonts w:hint="eastAsia" w:ascii="微软雅黑" w:hAnsi="微软雅黑" w:eastAsia="微软雅黑"/>
                <w:szCs w:val="21"/>
              </w:rPr>
              <w:t>文旅地产风口的升级转型策略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81"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color w:val="FFFFFF" w:themeColor="background1"/>
                <w:kern w:val="0"/>
                <w:sz w:val="28"/>
                <w:lang w:val="zh-CN"/>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标杆地产之“金融篇”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tcBorders>
              <w:bottom w:val="double" w:color="auto" w:sz="4" w:space="0"/>
            </w:tcBorders>
            <w:shd w:val="clear" w:color="auto" w:fill="F7F7F7"/>
            <w:vAlign w:val="center"/>
          </w:tcPr>
          <w:p>
            <w:pPr>
              <w:spacing w:line="400" w:lineRule="exact"/>
              <w:jc w:val="left"/>
              <w:rPr>
                <w:rFonts w:ascii="微软雅黑" w:hAnsi="微软雅黑" w:eastAsia="微软雅黑"/>
                <w:szCs w:val="21"/>
              </w:rPr>
            </w:pPr>
            <w:r>
              <w:rPr>
                <w:rFonts w:hint="eastAsia" w:ascii="微软雅黑" w:hAnsi="微软雅黑" w:eastAsia="微软雅黑"/>
                <w:szCs w:val="21"/>
              </w:rPr>
              <w:t>新常态下金融地产转型趋势与模式创新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房地产金融与资产证券化</w:t>
            </w:r>
          </w:p>
          <w:p>
            <w:pPr>
              <w:spacing w:line="400" w:lineRule="exact"/>
              <w:jc w:val="left"/>
              <w:rPr>
                <w:rFonts w:ascii="微软雅黑" w:hAnsi="微软雅黑" w:eastAsia="微软雅黑"/>
                <w:szCs w:val="21"/>
              </w:rPr>
            </w:pPr>
            <w:r>
              <w:rPr>
                <w:rFonts w:hint="eastAsia" w:ascii="微软雅黑" w:hAnsi="微软雅黑" w:eastAsia="微软雅黑"/>
                <w:szCs w:val="21"/>
              </w:rPr>
              <w:t>房地产轻资产管理模式与创新</w:t>
            </w:r>
          </w:p>
          <w:p>
            <w:pPr>
              <w:spacing w:line="400" w:lineRule="exact"/>
              <w:jc w:val="left"/>
              <w:rPr>
                <w:rFonts w:ascii="微软雅黑" w:hAnsi="微软雅黑" w:eastAsia="微软雅黑"/>
                <w:szCs w:val="21"/>
              </w:rPr>
            </w:pPr>
            <w:r>
              <w:rPr>
                <w:rFonts w:hint="eastAsia" w:ascii="微软雅黑" w:hAnsi="微软雅黑" w:eastAsia="微软雅黑"/>
                <w:szCs w:val="21"/>
              </w:rPr>
              <w:t>产业地产与PPP融资</w:t>
            </w:r>
          </w:p>
          <w:p>
            <w:pPr>
              <w:spacing w:line="400" w:lineRule="exact"/>
              <w:jc w:val="left"/>
              <w:rPr>
                <w:rFonts w:ascii="微软雅黑" w:hAnsi="微软雅黑" w:eastAsia="微软雅黑"/>
                <w:szCs w:val="21"/>
              </w:rPr>
            </w:pPr>
            <w:r>
              <w:rPr>
                <w:rFonts w:hint="eastAsia" w:ascii="微软雅黑" w:hAnsi="微软雅黑" w:eastAsia="微软雅黑"/>
                <w:szCs w:val="21"/>
              </w:rPr>
              <w:t>融资的风险控制与税务筹划</w:t>
            </w:r>
          </w:p>
          <w:p>
            <w:pPr>
              <w:spacing w:line="400" w:lineRule="exact"/>
              <w:jc w:val="left"/>
              <w:rPr>
                <w:rFonts w:ascii="宋体" w:hAnsi="宋体"/>
                <w:kern w:val="0"/>
                <w:lang w:val="zh-CN"/>
              </w:rPr>
            </w:pPr>
            <w:r>
              <w:rPr>
                <w:rFonts w:hint="eastAsia" w:ascii="微软雅黑" w:hAnsi="微软雅黑" w:eastAsia="微软雅黑"/>
                <w:szCs w:val="21"/>
              </w:rPr>
              <w:t xml:space="preserve">资本管理与资产管理(商业地产投融资与资产管理) </w:t>
            </w:r>
          </w:p>
        </w:tc>
        <w:tc>
          <w:tcPr>
            <w:tcW w:w="5218" w:type="dxa"/>
            <w:tcBorders>
              <w:bottom w:val="double" w:color="auto" w:sz="4" w:space="0"/>
            </w:tcBorders>
            <w:shd w:val="clear" w:color="auto" w:fill="F7F7F7"/>
            <w:vAlign w:val="center"/>
          </w:tcPr>
          <w:p>
            <w:pPr>
              <w:spacing w:line="400" w:lineRule="exact"/>
              <w:jc w:val="left"/>
              <w:rPr>
                <w:rFonts w:ascii="微软雅黑" w:hAnsi="微软雅黑" w:eastAsia="微软雅黑"/>
                <w:szCs w:val="21"/>
              </w:rPr>
            </w:pPr>
            <w:r>
              <w:rPr>
                <w:rFonts w:hint="eastAsia" w:ascii="微软雅黑" w:hAnsi="微软雅黑" w:eastAsia="微软雅黑"/>
                <w:szCs w:val="21"/>
              </w:rPr>
              <w:t>PE-私募股权投资基金的运作原理</w:t>
            </w:r>
          </w:p>
          <w:p>
            <w:pPr>
              <w:spacing w:line="400" w:lineRule="exact"/>
              <w:jc w:val="left"/>
              <w:rPr>
                <w:rFonts w:ascii="微软雅黑" w:hAnsi="微软雅黑" w:eastAsia="微软雅黑"/>
                <w:szCs w:val="21"/>
              </w:rPr>
            </w:pPr>
            <w:r>
              <w:rPr>
                <w:rFonts w:hint="eastAsia" w:ascii="微软雅黑" w:hAnsi="微软雅黑" w:eastAsia="微软雅黑"/>
                <w:szCs w:val="21"/>
              </w:rPr>
              <w:t>海外地产投资开发与基金管理</w:t>
            </w:r>
          </w:p>
          <w:p>
            <w:pPr>
              <w:spacing w:line="400" w:lineRule="exact"/>
              <w:jc w:val="left"/>
              <w:rPr>
                <w:rFonts w:ascii="微软雅黑" w:hAnsi="微软雅黑" w:eastAsia="微软雅黑"/>
                <w:szCs w:val="21"/>
              </w:rPr>
            </w:pPr>
            <w:r>
              <w:rPr>
                <w:rFonts w:hint="eastAsia" w:ascii="微软雅黑" w:hAnsi="微软雅黑" w:eastAsia="微软雅黑"/>
                <w:szCs w:val="21"/>
              </w:rPr>
              <w:t>物业并购重组政策与操作实务深度解析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企业并购重组政策与操作实务深度解析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房地产企业并购重组实务深度剖析</w:t>
            </w:r>
          </w:p>
          <w:p>
            <w:pPr>
              <w:spacing w:line="400" w:lineRule="exact"/>
              <w:jc w:val="left"/>
              <w:rPr>
                <w:rFonts w:ascii="微软雅黑" w:hAnsi="微软雅黑" w:eastAsia="微软雅黑"/>
                <w:szCs w:val="21"/>
              </w:rPr>
            </w:pPr>
            <w:r>
              <w:rPr>
                <w:rFonts w:hint="eastAsia" w:ascii="微软雅黑" w:hAnsi="微软雅黑" w:eastAsia="微软雅黑"/>
                <w:szCs w:val="21"/>
              </w:rPr>
              <w:t>中小企业资本运营与上市分析</w:t>
            </w:r>
          </w:p>
          <w:p>
            <w:pPr>
              <w:spacing w:line="400" w:lineRule="exact"/>
              <w:jc w:val="left"/>
              <w:rPr>
                <w:rFonts w:ascii="宋体" w:hAnsi="宋体"/>
                <w:kern w:val="0"/>
                <w:lang w:val="zh-CN"/>
              </w:rPr>
            </w:pPr>
            <w:r>
              <w:rPr>
                <w:rFonts w:hint="eastAsia" w:ascii="微软雅黑" w:hAnsi="微软雅黑" w:eastAsia="微软雅黑"/>
                <w:szCs w:val="21"/>
              </w:rPr>
              <w:t>房地产基金、融资租赁和不良资产处置</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标杆地产之“开发篇”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shd w:val="clear" w:color="auto" w:fill="F7F7F7"/>
          </w:tcPr>
          <w:p>
            <w:pPr>
              <w:widowControl/>
              <w:tabs>
                <w:tab w:val="left" w:pos="8640"/>
              </w:tabs>
              <w:spacing w:line="400" w:lineRule="exact"/>
              <w:jc w:val="left"/>
              <w:rPr>
                <w:rFonts w:ascii="微软雅黑" w:hAnsi="微软雅黑" w:eastAsia="微软雅黑"/>
                <w:b/>
                <w:color w:val="860000"/>
                <w:kern w:val="0"/>
                <w:lang w:val="zh-CN"/>
              </w:rPr>
            </w:pPr>
            <w:r>
              <w:rPr>
                <w:rFonts w:hint="eastAsia" w:ascii="微软雅黑" w:hAnsi="微软雅黑" w:eastAsia="微软雅黑"/>
                <w:b/>
                <w:color w:val="860000"/>
                <w:kern w:val="0"/>
                <w:lang w:val="zh-CN"/>
              </w:rPr>
              <w:t>土地拓展</w:t>
            </w:r>
          </w:p>
          <w:p>
            <w:pPr>
              <w:spacing w:line="400" w:lineRule="exact"/>
              <w:jc w:val="left"/>
              <w:rPr>
                <w:rFonts w:ascii="微软雅黑" w:hAnsi="微软雅黑" w:eastAsia="微软雅黑"/>
                <w:szCs w:val="21"/>
              </w:rPr>
            </w:pPr>
            <w:r>
              <w:rPr>
                <w:rFonts w:hint="eastAsia" w:ascii="微软雅黑" w:hAnsi="微软雅黑" w:eastAsia="微软雅黑"/>
                <w:szCs w:val="21"/>
              </w:rPr>
              <w:t>房企投资布局战略及拿地模式创新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最新土地政策与城市更新机遇</w:t>
            </w:r>
          </w:p>
          <w:p>
            <w:pPr>
              <w:spacing w:line="400" w:lineRule="exact"/>
              <w:jc w:val="left"/>
              <w:rPr>
                <w:rFonts w:ascii="微软雅黑" w:hAnsi="微软雅黑" w:eastAsia="微软雅黑"/>
                <w:szCs w:val="21"/>
              </w:rPr>
            </w:pPr>
            <w:r>
              <w:rPr>
                <w:rFonts w:hint="eastAsia" w:ascii="微软雅黑" w:hAnsi="微软雅黑" w:eastAsia="微软雅黑"/>
                <w:szCs w:val="21"/>
              </w:rPr>
              <w:t>土地拓展模式与投资地块研判</w:t>
            </w:r>
          </w:p>
          <w:p>
            <w:pPr>
              <w:spacing w:line="400" w:lineRule="exact"/>
              <w:jc w:val="left"/>
              <w:rPr>
                <w:rFonts w:ascii="微软雅黑" w:hAnsi="微软雅黑" w:eastAsia="微软雅黑"/>
                <w:szCs w:val="21"/>
              </w:rPr>
            </w:pPr>
            <w:r>
              <w:rPr>
                <w:rFonts w:hint="eastAsia" w:ascii="微软雅黑" w:hAnsi="微软雅黑" w:eastAsia="微软雅黑"/>
                <w:szCs w:val="21"/>
              </w:rPr>
              <w:t>项目并购合作开发操作实务及税务筹划</w:t>
            </w:r>
          </w:p>
          <w:p>
            <w:pPr>
              <w:spacing w:line="400" w:lineRule="exact"/>
              <w:jc w:val="left"/>
              <w:rPr>
                <w:rFonts w:ascii="微软雅黑" w:hAnsi="微软雅黑" w:eastAsia="微软雅黑"/>
                <w:szCs w:val="21"/>
              </w:rPr>
            </w:pPr>
            <w:r>
              <w:rPr>
                <w:rFonts w:hint="eastAsia" w:ascii="微软雅黑" w:hAnsi="微软雅黑" w:eastAsia="微软雅黑"/>
                <w:szCs w:val="21"/>
              </w:rPr>
              <w:t>产业/文旅/特色小镇/田园综合体项目土地研判及投资策略</w:t>
            </w:r>
          </w:p>
          <w:p>
            <w:pPr>
              <w:spacing w:line="400" w:lineRule="exact"/>
              <w:jc w:val="left"/>
              <w:rPr>
                <w:rFonts w:ascii="微软雅黑" w:hAnsi="微软雅黑" w:eastAsia="微软雅黑"/>
                <w:szCs w:val="21"/>
              </w:rPr>
            </w:pPr>
            <w:r>
              <w:rPr>
                <w:rFonts w:hint="eastAsia" w:ascii="微软雅黑" w:hAnsi="微软雅黑" w:eastAsia="微软雅黑"/>
                <w:szCs w:val="21"/>
              </w:rPr>
              <w:t>区域深耕型房企土地拓展模式与策略</w:t>
            </w:r>
          </w:p>
          <w:p>
            <w:pPr>
              <w:spacing w:line="400" w:lineRule="exact"/>
              <w:jc w:val="left"/>
              <w:rPr>
                <w:rFonts w:ascii="宋体" w:hAnsi="宋体"/>
                <w:b/>
                <w:color w:val="C00000"/>
                <w:kern w:val="0"/>
              </w:rPr>
            </w:pPr>
            <w:r>
              <w:rPr>
                <w:rFonts w:hint="eastAsia" w:ascii="微软雅黑" w:hAnsi="微软雅黑" w:eastAsia="微软雅黑"/>
                <w:szCs w:val="21"/>
              </w:rPr>
              <w:t>标杆房企土地拓展策略借鉴及法律风险防范</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开发报建</w:t>
            </w:r>
          </w:p>
          <w:p>
            <w:pPr>
              <w:spacing w:line="400" w:lineRule="exact"/>
              <w:jc w:val="left"/>
              <w:rPr>
                <w:rFonts w:ascii="微软雅黑" w:hAnsi="微软雅黑" w:eastAsia="微软雅黑"/>
                <w:szCs w:val="21"/>
              </w:rPr>
            </w:pPr>
            <w:r>
              <w:rPr>
                <w:rFonts w:hint="eastAsia" w:ascii="微软雅黑" w:hAnsi="微软雅黑" w:eastAsia="微软雅黑"/>
                <w:szCs w:val="21"/>
              </w:rPr>
              <w:t>房地产开发项目报建类相关政策法规分析</w:t>
            </w:r>
          </w:p>
          <w:p>
            <w:pPr>
              <w:spacing w:line="400" w:lineRule="exact"/>
              <w:jc w:val="left"/>
              <w:rPr>
                <w:rFonts w:ascii="微软雅黑" w:hAnsi="微软雅黑" w:eastAsia="微软雅黑"/>
                <w:szCs w:val="21"/>
              </w:rPr>
            </w:pPr>
            <w:r>
              <w:rPr>
                <w:rFonts w:hint="eastAsia" w:ascii="微软雅黑" w:hAnsi="微软雅黑" w:eastAsia="微软雅黑"/>
                <w:szCs w:val="21"/>
              </w:rPr>
              <w:t>报批报建策略、技巧及公共关系</w:t>
            </w:r>
          </w:p>
          <w:p>
            <w:pPr>
              <w:spacing w:line="400" w:lineRule="exact"/>
              <w:jc w:val="left"/>
              <w:rPr>
                <w:rFonts w:ascii="微软雅黑" w:hAnsi="微软雅黑" w:eastAsia="微软雅黑"/>
                <w:szCs w:val="21"/>
              </w:rPr>
            </w:pPr>
            <w:r>
              <w:rPr>
                <w:rFonts w:hint="eastAsia" w:ascii="微软雅黑" w:hAnsi="微软雅黑" w:eastAsia="微软雅黑"/>
                <w:szCs w:val="21"/>
              </w:rPr>
              <w:t>开发报建工作流程及各环节解析</w:t>
            </w:r>
          </w:p>
          <w:p>
            <w:pPr>
              <w:spacing w:line="400" w:lineRule="exact"/>
              <w:jc w:val="left"/>
              <w:rPr>
                <w:rFonts w:ascii="微软雅黑" w:hAnsi="微软雅黑" w:eastAsia="微软雅黑"/>
                <w:szCs w:val="21"/>
              </w:rPr>
            </w:pPr>
            <w:r>
              <w:rPr>
                <w:rFonts w:hint="eastAsia" w:ascii="微软雅黑" w:hAnsi="微软雅黑" w:eastAsia="微软雅黑"/>
                <w:szCs w:val="21"/>
              </w:rPr>
              <w:t>报建工作典型难点及技术处理</w:t>
            </w:r>
          </w:p>
          <w:p>
            <w:pPr>
              <w:spacing w:line="400" w:lineRule="exact"/>
              <w:jc w:val="left"/>
              <w:rPr>
                <w:rFonts w:ascii="微软雅黑" w:hAnsi="微软雅黑" w:eastAsia="微软雅黑"/>
                <w:szCs w:val="21"/>
              </w:rPr>
            </w:pPr>
            <w:r>
              <w:rPr>
                <w:rFonts w:hint="eastAsia" w:ascii="微软雅黑" w:hAnsi="微软雅黑" w:eastAsia="微软雅黑"/>
                <w:szCs w:val="21"/>
              </w:rPr>
              <w:t>五大证照报建剖析与快速取得技巧</w:t>
            </w:r>
          </w:p>
          <w:p>
            <w:pPr>
              <w:spacing w:line="400" w:lineRule="exact"/>
              <w:jc w:val="left"/>
              <w:rPr>
                <w:rFonts w:ascii="微软雅黑" w:hAnsi="微软雅黑" w:eastAsia="微软雅黑"/>
                <w:szCs w:val="21"/>
              </w:rPr>
            </w:pPr>
            <w:r>
              <w:rPr>
                <w:rFonts w:hint="eastAsia" w:ascii="微软雅黑" w:hAnsi="微软雅黑" w:eastAsia="微软雅黑"/>
                <w:szCs w:val="21"/>
              </w:rPr>
              <w:t>技术独立系统的报建技巧和策略</w:t>
            </w:r>
          </w:p>
          <w:p>
            <w:pPr>
              <w:spacing w:line="400" w:lineRule="exact"/>
              <w:jc w:val="left"/>
              <w:rPr>
                <w:rFonts w:ascii="微软雅黑" w:hAnsi="微软雅黑" w:eastAsia="微软雅黑"/>
                <w:szCs w:val="21"/>
              </w:rPr>
            </w:pPr>
            <w:r>
              <w:rPr>
                <w:rFonts w:hint="eastAsia" w:ascii="微软雅黑" w:hAnsi="微软雅黑" w:eastAsia="微软雅黑"/>
                <w:szCs w:val="21"/>
              </w:rPr>
              <w:t>不同类型开发企业实际关注的报建节点</w:t>
            </w:r>
          </w:p>
          <w:p>
            <w:pPr>
              <w:spacing w:line="400" w:lineRule="exact"/>
              <w:jc w:val="left"/>
              <w:rPr>
                <w:rFonts w:ascii="宋体" w:hAnsi="宋体"/>
                <w:szCs w:val="21"/>
              </w:rPr>
            </w:pPr>
            <w:r>
              <w:rPr>
                <w:rFonts w:hint="eastAsia" w:ascii="微软雅黑" w:hAnsi="微软雅黑" w:eastAsia="微软雅黑"/>
                <w:szCs w:val="21"/>
              </w:rPr>
              <w:t>房地产企业开发报建团队建设</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设计研发</w:t>
            </w:r>
          </w:p>
          <w:p>
            <w:pPr>
              <w:spacing w:line="400" w:lineRule="exact"/>
              <w:jc w:val="left"/>
              <w:rPr>
                <w:rFonts w:ascii="微软雅黑" w:hAnsi="微软雅黑" w:eastAsia="微软雅黑"/>
                <w:szCs w:val="21"/>
              </w:rPr>
            </w:pPr>
            <w:r>
              <w:rPr>
                <w:rFonts w:hint="eastAsia" w:ascii="微软雅黑" w:hAnsi="微软雅黑" w:eastAsia="微软雅黑"/>
                <w:szCs w:val="21"/>
              </w:rPr>
              <w:t>多项目运营模式下的规划设计管控要点</w:t>
            </w:r>
          </w:p>
          <w:p>
            <w:pPr>
              <w:spacing w:line="400" w:lineRule="exact"/>
              <w:jc w:val="left"/>
              <w:rPr>
                <w:rFonts w:ascii="微软雅黑" w:hAnsi="微软雅黑" w:eastAsia="微软雅黑"/>
                <w:szCs w:val="21"/>
              </w:rPr>
            </w:pPr>
            <w:r>
              <w:rPr>
                <w:rFonts w:hint="eastAsia" w:ascii="微软雅黑" w:hAnsi="微软雅黑" w:eastAsia="微软雅黑"/>
                <w:szCs w:val="21"/>
              </w:rPr>
              <w:t>项目设计全流程精细化管控技巧</w:t>
            </w:r>
          </w:p>
          <w:p>
            <w:pPr>
              <w:spacing w:line="400" w:lineRule="exact"/>
              <w:jc w:val="left"/>
              <w:rPr>
                <w:rFonts w:ascii="微软雅黑" w:hAnsi="微软雅黑" w:eastAsia="微软雅黑"/>
                <w:szCs w:val="21"/>
              </w:rPr>
            </w:pPr>
            <w:r>
              <w:rPr>
                <w:rFonts w:hint="eastAsia" w:ascii="微软雅黑" w:hAnsi="微软雅黑" w:eastAsia="微软雅黑"/>
                <w:szCs w:val="21"/>
              </w:rPr>
              <w:t>产品标准化体系建设与产品创新</w:t>
            </w:r>
          </w:p>
          <w:p>
            <w:pPr>
              <w:spacing w:line="400" w:lineRule="exact"/>
              <w:jc w:val="left"/>
              <w:rPr>
                <w:rFonts w:ascii="微软雅黑" w:hAnsi="微软雅黑" w:eastAsia="微软雅黑"/>
                <w:szCs w:val="21"/>
              </w:rPr>
            </w:pPr>
            <w:r>
              <w:rPr>
                <w:rFonts w:hint="eastAsia" w:ascii="微软雅黑" w:hAnsi="微软雅黑" w:eastAsia="微软雅黑"/>
                <w:szCs w:val="21"/>
              </w:rPr>
              <w:t>不同业态项目规划设计管控</w:t>
            </w:r>
          </w:p>
          <w:p>
            <w:pPr>
              <w:spacing w:line="400" w:lineRule="exact"/>
              <w:jc w:val="left"/>
              <w:rPr>
                <w:rFonts w:ascii="微软雅黑" w:hAnsi="微软雅黑" w:eastAsia="微软雅黑"/>
                <w:szCs w:val="21"/>
              </w:rPr>
            </w:pPr>
            <w:r>
              <w:rPr>
                <w:rFonts w:hint="eastAsia" w:ascii="微软雅黑" w:hAnsi="微软雅黑" w:eastAsia="微软雅黑"/>
                <w:szCs w:val="21"/>
              </w:rPr>
              <w:t>基于客户需求视角的住宅产品力提升方案</w:t>
            </w:r>
          </w:p>
          <w:p>
            <w:pPr>
              <w:spacing w:line="400" w:lineRule="exact"/>
              <w:jc w:val="left"/>
              <w:rPr>
                <w:rFonts w:ascii="微软雅黑" w:hAnsi="微软雅黑" w:eastAsia="微软雅黑"/>
                <w:szCs w:val="21"/>
              </w:rPr>
            </w:pPr>
            <w:r>
              <w:rPr>
                <w:rFonts w:hint="eastAsia" w:ascii="微软雅黑" w:hAnsi="微软雅黑" w:eastAsia="微软雅黑"/>
                <w:szCs w:val="21"/>
              </w:rPr>
              <w:t>规划设计阶段成本优化的关键点管控</w:t>
            </w:r>
          </w:p>
          <w:p>
            <w:pPr>
              <w:spacing w:line="400" w:lineRule="exact"/>
              <w:jc w:val="left"/>
              <w:rPr>
                <w:rFonts w:ascii="微软雅黑" w:hAnsi="微软雅黑" w:eastAsia="微软雅黑"/>
                <w:szCs w:val="21"/>
              </w:rPr>
            </w:pPr>
            <w:r>
              <w:rPr>
                <w:rFonts w:hint="eastAsia" w:ascii="微软雅黑" w:hAnsi="微软雅黑" w:eastAsia="微软雅黑"/>
                <w:szCs w:val="21"/>
              </w:rPr>
              <w:t>爆品项目打造的核心步骤与成本管控</w:t>
            </w:r>
          </w:p>
          <w:p>
            <w:pPr>
              <w:spacing w:line="400" w:lineRule="exact"/>
              <w:jc w:val="left"/>
              <w:rPr>
                <w:rFonts w:ascii="宋体" w:hAnsi="宋体"/>
                <w:szCs w:val="21"/>
              </w:rPr>
            </w:pPr>
            <w:r>
              <w:rPr>
                <w:rFonts w:hint="eastAsia" w:ascii="微软雅黑" w:hAnsi="微软雅黑" w:eastAsia="微软雅黑"/>
                <w:szCs w:val="21"/>
              </w:rPr>
              <w:t>地产新时期的住宅产品新技术、新材料应用</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营销策划</w:t>
            </w:r>
          </w:p>
          <w:p>
            <w:pPr>
              <w:spacing w:line="400" w:lineRule="exact"/>
              <w:jc w:val="left"/>
              <w:rPr>
                <w:rFonts w:ascii="微软雅黑" w:hAnsi="微软雅黑" w:eastAsia="微软雅黑"/>
                <w:szCs w:val="21"/>
              </w:rPr>
            </w:pPr>
            <w:r>
              <w:rPr>
                <w:rFonts w:hint="eastAsia" w:ascii="微软雅黑" w:hAnsi="微软雅黑" w:eastAsia="微软雅黑"/>
                <w:szCs w:val="21"/>
              </w:rPr>
              <w:t>董事长营销思维革命</w:t>
            </w:r>
          </w:p>
          <w:p>
            <w:pPr>
              <w:spacing w:line="400" w:lineRule="exact"/>
              <w:jc w:val="left"/>
              <w:rPr>
                <w:rFonts w:ascii="微软雅黑" w:hAnsi="微软雅黑" w:eastAsia="微软雅黑"/>
                <w:szCs w:val="21"/>
              </w:rPr>
            </w:pPr>
            <w:r>
              <w:rPr>
                <w:rFonts w:hint="eastAsia" w:ascii="微软雅黑" w:hAnsi="微软雅黑" w:eastAsia="微软雅黑"/>
                <w:szCs w:val="21"/>
              </w:rPr>
              <w:t>品牌定位及新居住系统打造</w:t>
            </w:r>
          </w:p>
          <w:p>
            <w:pPr>
              <w:spacing w:line="400" w:lineRule="exact"/>
              <w:jc w:val="left"/>
              <w:rPr>
                <w:rFonts w:ascii="微软雅黑" w:hAnsi="微软雅黑" w:eastAsia="微软雅黑"/>
                <w:szCs w:val="21"/>
              </w:rPr>
            </w:pPr>
            <w:r>
              <w:rPr>
                <w:rFonts w:hint="eastAsia" w:ascii="微软雅黑" w:hAnsi="微软雅黑" w:eastAsia="微软雅黑"/>
                <w:szCs w:val="21"/>
              </w:rPr>
              <w:t>营销战略设计、战术跟进及项目持续热销的密码</w:t>
            </w:r>
          </w:p>
          <w:p>
            <w:pPr>
              <w:spacing w:line="400" w:lineRule="exact"/>
              <w:jc w:val="left"/>
              <w:rPr>
                <w:rFonts w:ascii="微软雅黑" w:hAnsi="微软雅黑" w:eastAsia="微软雅黑"/>
                <w:szCs w:val="21"/>
              </w:rPr>
            </w:pPr>
            <w:r>
              <w:rPr>
                <w:rFonts w:hint="eastAsia" w:ascii="微软雅黑" w:hAnsi="微软雅黑" w:eastAsia="微软雅黑"/>
                <w:szCs w:val="21"/>
              </w:rPr>
              <w:t>项目定位的决策工具</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房地产企业营销策划能力重塑</w:t>
            </w:r>
          </w:p>
          <w:p>
            <w:pPr>
              <w:spacing w:line="400" w:lineRule="exact"/>
              <w:jc w:val="left"/>
              <w:rPr>
                <w:rFonts w:ascii="微软雅黑" w:hAnsi="微软雅黑" w:eastAsia="微软雅黑"/>
                <w:szCs w:val="21"/>
              </w:rPr>
            </w:pPr>
            <w:r>
              <w:rPr>
                <w:rFonts w:hint="eastAsia" w:ascii="微软雅黑" w:hAnsi="微软雅黑" w:eastAsia="微软雅黑"/>
                <w:szCs w:val="21"/>
              </w:rPr>
              <w:t>短期内快速实现颠覆性业绩提升的五大利器</w:t>
            </w:r>
          </w:p>
          <w:p>
            <w:pPr>
              <w:spacing w:line="400" w:lineRule="exact"/>
              <w:jc w:val="left"/>
              <w:rPr>
                <w:rFonts w:ascii="微软雅黑" w:hAnsi="微软雅黑" w:eastAsia="微软雅黑"/>
                <w:szCs w:val="21"/>
              </w:rPr>
            </w:pPr>
            <w:r>
              <w:rPr>
                <w:rFonts w:hint="eastAsia" w:ascii="微软雅黑" w:hAnsi="微软雅黑" w:eastAsia="微软雅黑"/>
                <w:szCs w:val="21"/>
              </w:rPr>
              <w:t>疑难杂症项目解套到热销策略</w:t>
            </w:r>
          </w:p>
          <w:p>
            <w:pPr>
              <w:spacing w:line="400" w:lineRule="exact"/>
              <w:jc w:val="left"/>
              <w:rPr>
                <w:rFonts w:ascii="宋体" w:hAnsi="宋体"/>
                <w:szCs w:val="21"/>
              </w:rPr>
            </w:pPr>
            <w:r>
              <w:rPr>
                <w:rFonts w:hint="eastAsia" w:ascii="微软雅黑" w:hAnsi="微软雅黑" w:eastAsia="微软雅黑"/>
                <w:szCs w:val="21"/>
              </w:rPr>
              <w:t>标杆项目营销案例分享</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成本管理</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房地产企业工程合同管理及案例解析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地产企业签证变更管理及案例解析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房地产企业工程预结算管理及案例解析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房地产企业工程档案管理及案例解析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房地产企业招标采购管理   </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房地产企业全成本管理及案例解析</w:t>
            </w:r>
          </w:p>
          <w:p>
            <w:pPr>
              <w:spacing w:line="400" w:lineRule="exact"/>
              <w:jc w:val="left"/>
              <w:rPr>
                <w:rFonts w:ascii="宋体" w:hAnsi="宋体"/>
                <w:szCs w:val="21"/>
              </w:rPr>
            </w:pPr>
            <w:r>
              <w:rPr>
                <w:rFonts w:hint="eastAsia" w:ascii="微软雅黑" w:hAnsi="微软雅黑" w:eastAsia="微软雅黑"/>
                <w:szCs w:val="21"/>
              </w:rPr>
              <w:t>标杆案例分享</w:t>
            </w:r>
          </w:p>
        </w:tc>
        <w:tc>
          <w:tcPr>
            <w:tcW w:w="5218" w:type="dxa"/>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工程管理</w:t>
            </w:r>
          </w:p>
          <w:p>
            <w:pPr>
              <w:spacing w:line="400" w:lineRule="exact"/>
              <w:jc w:val="left"/>
              <w:rPr>
                <w:rFonts w:ascii="微软雅黑" w:hAnsi="微软雅黑" w:eastAsia="微软雅黑"/>
                <w:szCs w:val="21"/>
              </w:rPr>
            </w:pPr>
            <w:r>
              <w:rPr>
                <w:rFonts w:hint="eastAsia" w:ascii="微软雅黑" w:hAnsi="微软雅黑" w:eastAsia="微软雅黑"/>
                <w:szCs w:val="21"/>
              </w:rPr>
              <w:t>建筑工程全程精细化管理解析</w:t>
            </w:r>
          </w:p>
          <w:p>
            <w:pPr>
              <w:spacing w:line="400" w:lineRule="exact"/>
              <w:jc w:val="left"/>
              <w:rPr>
                <w:rFonts w:ascii="微软雅黑" w:hAnsi="微软雅黑" w:eastAsia="微软雅黑"/>
                <w:szCs w:val="21"/>
              </w:rPr>
            </w:pPr>
            <w:r>
              <w:rPr>
                <w:rFonts w:hint="eastAsia" w:ascii="微软雅黑" w:hAnsi="微软雅黑" w:eastAsia="微软雅黑"/>
                <w:szCs w:val="21"/>
              </w:rPr>
              <w:t>工程总承包全过程管理实务及法律风险防范</w:t>
            </w:r>
          </w:p>
          <w:p>
            <w:pPr>
              <w:spacing w:line="400" w:lineRule="exact"/>
              <w:jc w:val="left"/>
              <w:rPr>
                <w:rFonts w:ascii="微软雅黑" w:hAnsi="微软雅黑" w:eastAsia="微软雅黑"/>
                <w:szCs w:val="21"/>
              </w:rPr>
            </w:pPr>
            <w:r>
              <w:rPr>
                <w:rFonts w:hint="eastAsia" w:ascii="微软雅黑" w:hAnsi="微软雅黑" w:eastAsia="微软雅黑"/>
                <w:szCs w:val="21"/>
              </w:rPr>
              <w:t>工程质量通病防治与分析</w:t>
            </w:r>
          </w:p>
          <w:p>
            <w:pPr>
              <w:spacing w:line="400" w:lineRule="exact"/>
              <w:jc w:val="left"/>
              <w:rPr>
                <w:rFonts w:ascii="微软雅黑" w:hAnsi="微软雅黑" w:eastAsia="微软雅黑"/>
                <w:szCs w:val="21"/>
              </w:rPr>
            </w:pPr>
            <w:r>
              <w:rPr>
                <w:rFonts w:hint="eastAsia" w:ascii="微软雅黑" w:hAnsi="微软雅黑" w:eastAsia="微软雅黑"/>
                <w:szCs w:val="21"/>
              </w:rPr>
              <w:t>装配式建筑施工管理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房地产项目竣工验收、交付及维修管理</w:t>
            </w:r>
          </w:p>
          <w:p>
            <w:pPr>
              <w:spacing w:line="400" w:lineRule="exact"/>
              <w:jc w:val="left"/>
              <w:rPr>
                <w:rFonts w:ascii="微软雅黑" w:hAnsi="微软雅黑" w:eastAsia="微软雅黑"/>
                <w:szCs w:val="21"/>
              </w:rPr>
            </w:pPr>
            <w:r>
              <w:rPr>
                <w:rFonts w:hint="eastAsia" w:ascii="微软雅黑" w:hAnsi="微软雅黑" w:eastAsia="微软雅黑"/>
                <w:szCs w:val="21"/>
              </w:rPr>
              <w:t>精装修项目全程系统管理、痛点分析及防控</w:t>
            </w:r>
          </w:p>
          <w:p>
            <w:pPr>
              <w:spacing w:line="400" w:lineRule="exact"/>
              <w:jc w:val="left"/>
              <w:rPr>
                <w:rFonts w:ascii="宋体" w:hAnsi="宋体"/>
                <w:szCs w:val="21"/>
              </w:rPr>
            </w:pPr>
            <w:r>
              <w:rPr>
                <w:rFonts w:hint="eastAsia" w:ascii="微软雅黑" w:hAnsi="微软雅黑" w:eastAsia="微软雅黑"/>
                <w:szCs w:val="21"/>
              </w:rPr>
              <w:t>标杆样板项目参访及案例分享</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tcBorders>
              <w:bottom w:val="double" w:color="auto" w:sz="4" w:space="0"/>
            </w:tcBorders>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商业管理</w:t>
            </w:r>
          </w:p>
          <w:p>
            <w:pPr>
              <w:spacing w:line="400" w:lineRule="exact"/>
              <w:jc w:val="left"/>
              <w:rPr>
                <w:rFonts w:ascii="微软雅黑" w:hAnsi="微软雅黑" w:eastAsia="微软雅黑"/>
                <w:szCs w:val="21"/>
              </w:rPr>
            </w:pPr>
            <w:r>
              <w:rPr>
                <w:rFonts w:hint="eastAsia" w:ascii="微软雅黑" w:hAnsi="微软雅黑" w:eastAsia="微软雅黑"/>
                <w:szCs w:val="21"/>
              </w:rPr>
              <w:t>100座万达广场完美经营20大武器解密</w:t>
            </w:r>
          </w:p>
          <w:p>
            <w:pPr>
              <w:spacing w:line="400" w:lineRule="exact"/>
              <w:jc w:val="left"/>
              <w:rPr>
                <w:rFonts w:ascii="微软雅黑" w:hAnsi="微软雅黑" w:eastAsia="微软雅黑"/>
                <w:szCs w:val="21"/>
              </w:rPr>
            </w:pPr>
            <w:r>
              <w:rPr>
                <w:rFonts w:hint="eastAsia" w:ascii="微软雅黑" w:hAnsi="微软雅黑" w:eastAsia="微软雅黑"/>
                <w:szCs w:val="21"/>
              </w:rPr>
              <w:t>标杆商业地产项目招商运营解码</w:t>
            </w:r>
          </w:p>
          <w:p>
            <w:pPr>
              <w:spacing w:line="400" w:lineRule="exact"/>
              <w:jc w:val="left"/>
              <w:rPr>
                <w:rFonts w:ascii="微软雅黑" w:hAnsi="微软雅黑" w:eastAsia="微软雅黑"/>
                <w:szCs w:val="21"/>
              </w:rPr>
            </w:pPr>
            <w:r>
              <w:rPr>
                <w:rFonts w:hint="eastAsia" w:ascii="微软雅黑" w:hAnsi="微软雅黑" w:eastAsia="微软雅黑"/>
                <w:szCs w:val="21"/>
              </w:rPr>
              <w:t>城市综合体定位、招商销售与经营全程解密</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商业地产全程36个风险点深度解析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商业地产项目定位规划要点及招商策略</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商业地产开发全流程与商业街运营管理</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商业地产项目开发经营模式的解析</w:t>
            </w:r>
          </w:p>
          <w:p>
            <w:pPr>
              <w:spacing w:line="400" w:lineRule="exact"/>
              <w:jc w:val="left"/>
              <w:rPr>
                <w:rFonts w:ascii="宋体" w:hAnsi="宋体"/>
                <w:b/>
                <w:color w:val="C00000"/>
                <w:kern w:val="0"/>
              </w:rPr>
            </w:pPr>
            <w:r>
              <w:rPr>
                <w:rFonts w:hint="eastAsia" w:ascii="微软雅黑" w:hAnsi="微软雅黑" w:eastAsia="微软雅黑"/>
                <w:szCs w:val="21"/>
              </w:rPr>
              <w:t>商业地产投融资与资产管理</w:t>
            </w:r>
          </w:p>
        </w:tc>
        <w:tc>
          <w:tcPr>
            <w:tcW w:w="5218" w:type="dxa"/>
            <w:tcBorders>
              <w:bottom w:val="double" w:color="auto" w:sz="4" w:space="0"/>
            </w:tcBorders>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物业管理</w:t>
            </w:r>
          </w:p>
          <w:p>
            <w:pPr>
              <w:spacing w:line="400" w:lineRule="exact"/>
              <w:jc w:val="left"/>
              <w:rPr>
                <w:rFonts w:ascii="微软雅黑" w:hAnsi="微软雅黑" w:eastAsia="微软雅黑"/>
                <w:szCs w:val="21"/>
              </w:rPr>
            </w:pPr>
            <w:r>
              <w:rPr>
                <w:rFonts w:hint="eastAsia" w:ascii="微软雅黑" w:hAnsi="微软雅黑" w:eastAsia="微软雅黑"/>
                <w:szCs w:val="21"/>
              </w:rPr>
              <w:t>“互联网+”在物业管理领域的应用</w:t>
            </w:r>
          </w:p>
          <w:p>
            <w:pPr>
              <w:spacing w:line="400" w:lineRule="exact"/>
              <w:jc w:val="left"/>
              <w:rPr>
                <w:rFonts w:ascii="微软雅黑" w:hAnsi="微软雅黑" w:eastAsia="微软雅黑"/>
                <w:szCs w:val="21"/>
              </w:rPr>
            </w:pPr>
            <w:r>
              <w:rPr>
                <w:rFonts w:hint="eastAsia" w:ascii="微软雅黑" w:hAnsi="微软雅黑" w:eastAsia="微软雅黑"/>
                <w:szCs w:val="21"/>
              </w:rPr>
              <w:t>智能物业信息平台及管理体系建设</w:t>
            </w:r>
          </w:p>
          <w:p>
            <w:pPr>
              <w:spacing w:line="400" w:lineRule="exact"/>
              <w:jc w:val="left"/>
              <w:rPr>
                <w:rFonts w:ascii="微软雅黑" w:hAnsi="微软雅黑" w:eastAsia="微软雅黑"/>
                <w:szCs w:val="21"/>
              </w:rPr>
            </w:pPr>
            <w:r>
              <w:rPr>
                <w:rFonts w:hint="eastAsia" w:ascii="微软雅黑" w:hAnsi="微软雅黑" w:eastAsia="微软雅黑"/>
                <w:szCs w:val="21"/>
              </w:rPr>
              <w:t>物业服务模式创新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物业与客户关系的建立与维系</w:t>
            </w:r>
          </w:p>
          <w:p>
            <w:pPr>
              <w:spacing w:line="400" w:lineRule="exact"/>
              <w:jc w:val="left"/>
              <w:rPr>
                <w:rFonts w:ascii="微软雅黑" w:hAnsi="微软雅黑" w:eastAsia="微软雅黑"/>
                <w:szCs w:val="21"/>
              </w:rPr>
            </w:pPr>
            <w:r>
              <w:rPr>
                <w:rFonts w:hint="eastAsia" w:ascii="微软雅黑" w:hAnsi="微软雅黑" w:eastAsia="微软雅黑"/>
                <w:szCs w:val="21"/>
              </w:rPr>
              <w:t>物业企业战略转型与落地实务</w:t>
            </w:r>
          </w:p>
          <w:p>
            <w:pPr>
              <w:spacing w:line="400" w:lineRule="exact"/>
              <w:jc w:val="left"/>
              <w:rPr>
                <w:rFonts w:ascii="微软雅黑" w:hAnsi="微软雅黑" w:eastAsia="微软雅黑"/>
                <w:szCs w:val="21"/>
              </w:rPr>
            </w:pPr>
            <w:r>
              <w:rPr>
                <w:rFonts w:hint="eastAsia" w:ascii="微软雅黑" w:hAnsi="微软雅黑" w:eastAsia="微软雅黑"/>
                <w:szCs w:val="21"/>
              </w:rPr>
              <w:t>物业服务品质提升实战案例分享</w:t>
            </w:r>
          </w:p>
          <w:p>
            <w:pPr>
              <w:spacing w:line="400" w:lineRule="exact"/>
              <w:jc w:val="left"/>
              <w:rPr>
                <w:rFonts w:ascii="微软雅黑" w:hAnsi="微软雅黑" w:eastAsia="微软雅黑"/>
                <w:szCs w:val="21"/>
              </w:rPr>
            </w:pPr>
            <w:r>
              <w:rPr>
                <w:rFonts w:hint="eastAsia" w:ascii="微软雅黑" w:hAnsi="微软雅黑" w:eastAsia="微软雅黑"/>
                <w:szCs w:val="21"/>
              </w:rPr>
              <w:t>标杆物业多种经营模式探讨与案例分享</w:t>
            </w:r>
          </w:p>
          <w:p>
            <w:pPr>
              <w:spacing w:line="400" w:lineRule="exact"/>
              <w:jc w:val="left"/>
              <w:rPr>
                <w:rFonts w:ascii="宋体" w:hAnsi="宋体"/>
                <w:b/>
                <w:color w:val="C00000"/>
                <w:kern w:val="0"/>
              </w:rPr>
            </w:pPr>
            <w:r>
              <w:rPr>
                <w:rFonts w:hint="eastAsia" w:ascii="微软雅黑" w:hAnsi="微软雅黑" w:eastAsia="微软雅黑"/>
                <w:szCs w:val="21"/>
              </w:rPr>
              <w:t>五星物业服务设计与客户触点的品质管控</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9962" w:type="dxa"/>
            <w:gridSpan w:val="2"/>
            <w:shd w:val="clear" w:color="auto" w:fill="860000"/>
          </w:tcPr>
          <w:p>
            <w:pPr>
              <w:spacing w:before="156" w:beforeLines="50" w:after="156" w:afterLines="50" w:line="400" w:lineRule="exact"/>
              <w:jc w:val="center"/>
              <w:textAlignment w:val="baseline"/>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标杆地产之“管理篇”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shd w:val="clear" w:color="auto" w:fill="F7F7F7"/>
          </w:tcPr>
          <w:p>
            <w:pPr>
              <w:spacing w:line="400" w:lineRule="exact"/>
              <w:ind w:left="1338" w:hanging="1338" w:hangingChars="637"/>
              <w:textAlignment w:val="baseline"/>
              <w:rPr>
                <w:rFonts w:ascii="微软雅黑" w:hAnsi="微软雅黑" w:eastAsia="微软雅黑"/>
                <w:b/>
                <w:color w:val="860000"/>
              </w:rPr>
            </w:pPr>
            <w:r>
              <w:rPr>
                <w:rFonts w:hint="eastAsia" w:ascii="微软雅黑" w:hAnsi="微软雅黑" w:eastAsia="微软雅黑"/>
                <w:b/>
                <w:color w:val="860000"/>
              </w:rPr>
              <w:t>计划运营</w:t>
            </w:r>
          </w:p>
          <w:p>
            <w:pPr>
              <w:spacing w:line="400" w:lineRule="exact"/>
              <w:jc w:val="left"/>
              <w:rPr>
                <w:rFonts w:ascii="微软雅黑" w:hAnsi="微软雅黑" w:eastAsia="微软雅黑"/>
                <w:szCs w:val="21"/>
              </w:rPr>
            </w:pPr>
            <w:r>
              <w:rPr>
                <w:rFonts w:hint="eastAsia" w:ascii="微软雅黑" w:hAnsi="微软雅黑" w:eastAsia="微软雅黑"/>
                <w:szCs w:val="21"/>
              </w:rPr>
              <w:t>房地产集团管控、项目管控与开发流程管理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房地产企业快速开发与运营管理</w:t>
            </w:r>
          </w:p>
          <w:p>
            <w:pPr>
              <w:spacing w:line="400" w:lineRule="exact"/>
              <w:jc w:val="left"/>
              <w:rPr>
                <w:rFonts w:ascii="微软雅黑" w:hAnsi="微软雅黑" w:eastAsia="微软雅黑"/>
                <w:szCs w:val="21"/>
              </w:rPr>
            </w:pPr>
            <w:r>
              <w:rPr>
                <w:rFonts w:hint="eastAsia" w:ascii="微软雅黑" w:hAnsi="微软雅黑" w:eastAsia="微软雅黑"/>
                <w:szCs w:val="21"/>
              </w:rPr>
              <w:t>构建以现金流为主线的计划运营体系</w:t>
            </w:r>
          </w:p>
          <w:p>
            <w:pPr>
              <w:spacing w:line="400" w:lineRule="exact"/>
              <w:jc w:val="left"/>
              <w:rPr>
                <w:rFonts w:ascii="微软雅黑" w:hAnsi="微软雅黑" w:eastAsia="微软雅黑"/>
                <w:szCs w:val="21"/>
              </w:rPr>
            </w:pPr>
            <w:r>
              <w:rPr>
                <w:rFonts w:hint="eastAsia" w:ascii="微软雅黑" w:hAnsi="微软雅黑" w:eastAsia="微软雅黑"/>
                <w:szCs w:val="21"/>
              </w:rPr>
              <w:t>计划运营与组织绩效激励</w:t>
            </w:r>
          </w:p>
          <w:p>
            <w:pPr>
              <w:spacing w:line="400" w:lineRule="exact"/>
              <w:jc w:val="left"/>
              <w:rPr>
                <w:rFonts w:ascii="微软雅黑" w:hAnsi="微软雅黑" w:eastAsia="微软雅黑"/>
                <w:szCs w:val="21"/>
              </w:rPr>
            </w:pPr>
            <w:r>
              <w:rPr>
                <w:rFonts w:hint="eastAsia" w:ascii="微软雅黑" w:hAnsi="微软雅黑" w:eastAsia="微软雅黑"/>
                <w:szCs w:val="21"/>
              </w:rPr>
              <w:t>制度、流程建设与管理</w:t>
            </w:r>
          </w:p>
          <w:p>
            <w:pPr>
              <w:spacing w:line="400" w:lineRule="exact"/>
              <w:jc w:val="left"/>
              <w:rPr>
                <w:rFonts w:ascii="微软雅黑" w:hAnsi="微软雅黑" w:eastAsia="微软雅黑"/>
                <w:szCs w:val="21"/>
              </w:rPr>
            </w:pPr>
            <w:r>
              <w:rPr>
                <w:rFonts w:hint="eastAsia" w:ascii="微软雅黑" w:hAnsi="微软雅黑" w:eastAsia="微软雅黑"/>
                <w:szCs w:val="21"/>
              </w:rPr>
              <w:t>构建高效的运营会议体系</w:t>
            </w:r>
          </w:p>
          <w:p>
            <w:pPr>
              <w:spacing w:line="400" w:lineRule="exact"/>
              <w:jc w:val="left"/>
              <w:rPr>
                <w:rFonts w:ascii="微软雅黑" w:hAnsi="微软雅黑" w:eastAsia="微软雅黑"/>
                <w:szCs w:val="21"/>
              </w:rPr>
            </w:pPr>
            <w:r>
              <w:rPr>
                <w:rFonts w:hint="eastAsia" w:ascii="微软雅黑" w:hAnsi="微软雅黑" w:eastAsia="微软雅黑"/>
                <w:szCs w:val="21"/>
              </w:rPr>
              <w:t>三级计划体系构建实务及各层级计划管控要点</w:t>
            </w:r>
          </w:p>
          <w:p>
            <w:pPr>
              <w:spacing w:line="400" w:lineRule="exact"/>
              <w:jc w:val="left"/>
              <w:rPr>
                <w:rFonts w:ascii="宋体" w:hAnsi="宋体"/>
                <w:kern w:val="0"/>
              </w:rPr>
            </w:pPr>
            <w:r>
              <w:rPr>
                <w:rFonts w:hint="eastAsia" w:ascii="微软雅黑" w:hAnsi="微软雅黑" w:eastAsia="微软雅黑"/>
                <w:szCs w:val="21"/>
              </w:rPr>
              <w:t>标杆企业计划节点管控案例分享</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rPr>
            </w:pPr>
            <w:r>
              <w:rPr>
                <w:rFonts w:hint="eastAsia" w:ascii="微软雅黑" w:hAnsi="微软雅黑" w:eastAsia="微软雅黑"/>
                <w:b/>
                <w:color w:val="860000"/>
              </w:rPr>
              <w:t>项目管理</w:t>
            </w:r>
          </w:p>
          <w:p>
            <w:pPr>
              <w:spacing w:line="400" w:lineRule="exact"/>
              <w:jc w:val="left"/>
              <w:rPr>
                <w:rFonts w:ascii="微软雅黑" w:hAnsi="微软雅黑" w:eastAsia="微软雅黑"/>
                <w:szCs w:val="21"/>
              </w:rPr>
            </w:pPr>
            <w:r>
              <w:rPr>
                <w:rFonts w:hint="eastAsia" w:ascii="微软雅黑" w:hAnsi="微软雅黑" w:eastAsia="微软雅黑"/>
                <w:szCs w:val="21"/>
              </w:rPr>
              <w:t>不确定项目环境下的项目管理运营与管控</w:t>
            </w:r>
          </w:p>
          <w:p>
            <w:pPr>
              <w:spacing w:line="400" w:lineRule="exact"/>
              <w:jc w:val="left"/>
              <w:rPr>
                <w:rFonts w:ascii="微软雅黑" w:hAnsi="微软雅黑" w:eastAsia="微软雅黑"/>
                <w:szCs w:val="21"/>
              </w:rPr>
            </w:pPr>
            <w:r>
              <w:rPr>
                <w:rFonts w:hint="eastAsia" w:ascii="微软雅黑" w:hAnsi="微软雅黑" w:eastAsia="微软雅黑"/>
                <w:szCs w:val="21"/>
              </w:rPr>
              <w:t>公司战略与项目战略的结合</w:t>
            </w:r>
          </w:p>
          <w:p>
            <w:pPr>
              <w:spacing w:line="400" w:lineRule="exact"/>
              <w:jc w:val="left"/>
              <w:rPr>
                <w:rFonts w:ascii="微软雅黑" w:hAnsi="微软雅黑" w:eastAsia="微软雅黑"/>
                <w:szCs w:val="21"/>
              </w:rPr>
            </w:pPr>
            <w:r>
              <w:rPr>
                <w:rFonts w:hint="eastAsia" w:ascii="微软雅黑" w:hAnsi="微软雅黑" w:eastAsia="微软雅黑"/>
                <w:szCs w:val="21"/>
              </w:rPr>
              <w:t>华为公司项目管理的成功与失败借鉴</w:t>
            </w:r>
          </w:p>
          <w:p>
            <w:pPr>
              <w:spacing w:line="400" w:lineRule="exact"/>
              <w:jc w:val="left"/>
              <w:rPr>
                <w:rFonts w:ascii="微软雅黑" w:hAnsi="微软雅黑" w:eastAsia="微软雅黑"/>
                <w:szCs w:val="21"/>
              </w:rPr>
            </w:pPr>
            <w:r>
              <w:rPr>
                <w:rFonts w:hint="eastAsia" w:ascii="微软雅黑" w:hAnsi="微软雅黑" w:eastAsia="微软雅黑"/>
                <w:szCs w:val="21"/>
              </w:rPr>
              <w:t>项目实施与监控重要关键要点</w:t>
            </w:r>
          </w:p>
          <w:p>
            <w:pPr>
              <w:spacing w:line="400" w:lineRule="exact"/>
              <w:jc w:val="left"/>
              <w:rPr>
                <w:rFonts w:ascii="微软雅黑" w:hAnsi="微软雅黑" w:eastAsia="微软雅黑"/>
                <w:szCs w:val="21"/>
              </w:rPr>
            </w:pPr>
            <w:r>
              <w:rPr>
                <w:rFonts w:hint="eastAsia" w:ascii="微软雅黑" w:hAnsi="微软雅黑" w:eastAsia="微软雅黑"/>
                <w:szCs w:val="21"/>
              </w:rPr>
              <w:t>单项目管理的流程（4</w:t>
            </w:r>
            <w:r>
              <w:rPr>
                <w:rFonts w:ascii="微软雅黑" w:hAnsi="微软雅黑" w:eastAsia="微软雅黑"/>
                <w:szCs w:val="21"/>
              </w:rPr>
              <w:t>2</w:t>
            </w:r>
            <w:r>
              <w:rPr>
                <w:rFonts w:hint="eastAsia" w:ascii="微软雅黑" w:hAnsi="微软雅黑" w:eastAsia="微软雅黑"/>
                <w:szCs w:val="21"/>
              </w:rPr>
              <w:t>个过程）</w:t>
            </w:r>
          </w:p>
          <w:p>
            <w:pPr>
              <w:spacing w:line="400" w:lineRule="exact"/>
              <w:jc w:val="left"/>
              <w:rPr>
                <w:rFonts w:ascii="微软雅黑" w:hAnsi="微软雅黑" w:eastAsia="微软雅黑"/>
                <w:szCs w:val="21"/>
              </w:rPr>
            </w:pPr>
            <w:r>
              <w:rPr>
                <w:rFonts w:hint="eastAsia" w:ascii="微软雅黑" w:hAnsi="微软雅黑" w:eastAsia="微软雅黑"/>
                <w:szCs w:val="21"/>
              </w:rPr>
              <w:t>项目管理六步一法</w:t>
            </w:r>
          </w:p>
          <w:p>
            <w:pPr>
              <w:spacing w:line="400" w:lineRule="exact"/>
              <w:jc w:val="left"/>
              <w:rPr>
                <w:rFonts w:ascii="微软雅黑" w:hAnsi="微软雅黑" w:eastAsia="微软雅黑"/>
                <w:szCs w:val="21"/>
              </w:rPr>
            </w:pPr>
            <w:r>
              <w:rPr>
                <w:rFonts w:hint="eastAsia" w:ascii="微软雅黑" w:hAnsi="微软雅黑" w:eastAsia="微软雅黑"/>
                <w:szCs w:val="21"/>
              </w:rPr>
              <w:t>项目管理中主要干系人管理</w:t>
            </w:r>
          </w:p>
          <w:p>
            <w:pPr>
              <w:spacing w:line="400" w:lineRule="exact"/>
              <w:jc w:val="left"/>
              <w:rPr>
                <w:rFonts w:ascii="宋体" w:hAnsi="宋体"/>
                <w:szCs w:val="21"/>
              </w:rPr>
            </w:pPr>
            <w:r>
              <w:rPr>
                <w:rFonts w:hint="eastAsia" w:ascii="微软雅黑" w:hAnsi="微软雅黑" w:eastAsia="微软雅黑"/>
                <w:szCs w:val="21"/>
              </w:rPr>
              <w:t>项目管理的三维分析法</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42" w:hRule="atLeast"/>
          <w:jc w:val="center"/>
        </w:trPr>
        <w:tc>
          <w:tcPr>
            <w:tcW w:w="4744" w:type="dxa"/>
            <w:tcBorders>
              <w:bottom w:val="double" w:color="auto" w:sz="4" w:space="0"/>
            </w:tcBorders>
            <w:shd w:val="clear" w:color="auto" w:fill="F7F7F7"/>
          </w:tcPr>
          <w:p>
            <w:pPr>
              <w:spacing w:line="400" w:lineRule="exact"/>
              <w:jc w:val="left"/>
              <w:textAlignment w:val="baseline"/>
              <w:rPr>
                <w:rFonts w:ascii="微软雅黑" w:hAnsi="微软雅黑" w:eastAsia="微软雅黑"/>
                <w:b/>
                <w:color w:val="860000"/>
                <w:kern w:val="0"/>
              </w:rPr>
            </w:pPr>
            <w:r>
              <w:rPr>
                <w:rFonts w:hint="eastAsia" w:ascii="微软雅黑" w:hAnsi="微软雅黑" w:eastAsia="微软雅黑"/>
                <w:b/>
                <w:color w:val="860000"/>
                <w:kern w:val="0"/>
              </w:rPr>
              <w:t>人力资源</w:t>
            </w:r>
          </w:p>
          <w:p>
            <w:pPr>
              <w:spacing w:line="400" w:lineRule="exact"/>
              <w:jc w:val="left"/>
              <w:rPr>
                <w:rFonts w:ascii="微软雅黑" w:hAnsi="微软雅黑" w:eastAsia="微软雅黑"/>
                <w:szCs w:val="21"/>
              </w:rPr>
            </w:pPr>
            <w:r>
              <w:rPr>
                <w:rFonts w:hint="eastAsia" w:ascii="微软雅黑" w:hAnsi="微软雅黑" w:eastAsia="微软雅黑"/>
                <w:szCs w:val="21"/>
              </w:rPr>
              <w:t>房地产组织发展</w:t>
            </w:r>
          </w:p>
          <w:p>
            <w:pPr>
              <w:spacing w:line="400" w:lineRule="exact"/>
              <w:jc w:val="left"/>
              <w:rPr>
                <w:rFonts w:ascii="微软雅黑" w:hAnsi="微软雅黑" w:eastAsia="微软雅黑"/>
                <w:szCs w:val="21"/>
              </w:rPr>
            </w:pPr>
            <w:r>
              <w:rPr>
                <w:rFonts w:hint="eastAsia" w:ascii="微软雅黑" w:hAnsi="微软雅黑" w:eastAsia="微软雅黑"/>
                <w:szCs w:val="21"/>
              </w:rPr>
              <w:t>房地产人力资源管理定位</w:t>
            </w:r>
          </w:p>
          <w:p>
            <w:pPr>
              <w:spacing w:line="400" w:lineRule="exact"/>
              <w:jc w:val="left"/>
              <w:rPr>
                <w:rFonts w:ascii="微软雅黑" w:hAnsi="微软雅黑" w:eastAsia="微软雅黑"/>
                <w:szCs w:val="21"/>
              </w:rPr>
            </w:pPr>
            <w:r>
              <w:rPr>
                <w:rFonts w:hint="eastAsia" w:ascii="微软雅黑" w:hAnsi="微软雅黑" w:eastAsia="微软雅黑"/>
                <w:szCs w:val="21"/>
              </w:rPr>
              <w:t>基于组织发展的房地产HR管理架构</w:t>
            </w:r>
          </w:p>
          <w:p>
            <w:pPr>
              <w:spacing w:line="400" w:lineRule="exact"/>
              <w:jc w:val="left"/>
              <w:rPr>
                <w:rFonts w:ascii="微软雅黑" w:hAnsi="微软雅黑" w:eastAsia="微软雅黑"/>
                <w:szCs w:val="21"/>
              </w:rPr>
            </w:pPr>
            <w:r>
              <w:rPr>
                <w:rFonts w:hint="eastAsia" w:ascii="微软雅黑" w:hAnsi="微软雅黑" w:eastAsia="微软雅黑"/>
                <w:szCs w:val="21"/>
              </w:rPr>
              <w:t>房地产人力资源战略、人才能力规划</w:t>
            </w:r>
          </w:p>
          <w:p>
            <w:pPr>
              <w:spacing w:line="400" w:lineRule="exact"/>
              <w:jc w:val="left"/>
              <w:rPr>
                <w:rFonts w:ascii="微软雅黑" w:hAnsi="微软雅黑" w:eastAsia="微软雅黑"/>
                <w:szCs w:val="21"/>
              </w:rPr>
            </w:pPr>
            <w:r>
              <w:rPr>
                <w:rFonts w:hint="eastAsia" w:ascii="微软雅黑" w:hAnsi="微软雅黑" w:eastAsia="微软雅黑"/>
                <w:szCs w:val="21"/>
              </w:rPr>
              <w:t>房地产管控与流程</w:t>
            </w:r>
          </w:p>
          <w:p>
            <w:pPr>
              <w:spacing w:line="400" w:lineRule="exact"/>
              <w:jc w:val="left"/>
              <w:rPr>
                <w:rFonts w:ascii="微软雅黑" w:hAnsi="微软雅黑" w:eastAsia="微软雅黑"/>
                <w:szCs w:val="21"/>
              </w:rPr>
            </w:pPr>
            <w:r>
              <w:rPr>
                <w:rFonts w:hint="eastAsia" w:ascii="微软雅黑" w:hAnsi="微软雅黑" w:eastAsia="微软雅黑"/>
                <w:szCs w:val="21"/>
              </w:rPr>
              <w:t>房地产HR规划</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房地产企业招聘管理</w:t>
            </w:r>
          </w:p>
          <w:p>
            <w:pPr>
              <w:spacing w:line="400" w:lineRule="exact"/>
              <w:jc w:val="left"/>
              <w:rPr>
                <w:rFonts w:ascii="微软雅黑" w:hAnsi="微软雅黑" w:eastAsia="微软雅黑"/>
                <w:szCs w:val="21"/>
              </w:rPr>
            </w:pPr>
            <w:r>
              <w:rPr>
                <w:rFonts w:hint="eastAsia" w:ascii="微软雅黑" w:hAnsi="微软雅黑" w:eastAsia="微软雅黑"/>
                <w:szCs w:val="21"/>
              </w:rPr>
              <w:t>人才培养</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房地产企业绩效管理</w:t>
            </w:r>
          </w:p>
          <w:p>
            <w:pPr>
              <w:spacing w:line="400" w:lineRule="exact"/>
              <w:jc w:val="left"/>
              <w:rPr>
                <w:rFonts w:ascii="宋体" w:hAnsi="宋体"/>
                <w:kern w:val="0"/>
              </w:rPr>
            </w:pPr>
            <w:r>
              <w:rPr>
                <w:rFonts w:hint="eastAsia" w:ascii="微软雅黑" w:hAnsi="微软雅黑" w:eastAsia="微软雅黑"/>
                <w:szCs w:val="21"/>
              </w:rPr>
              <w:t>战略地图与KPI落地</w:t>
            </w:r>
          </w:p>
        </w:tc>
        <w:tc>
          <w:tcPr>
            <w:tcW w:w="5218" w:type="dxa"/>
            <w:tcBorders>
              <w:bottom w:val="double" w:color="auto" w:sz="4" w:space="0"/>
            </w:tcBorders>
            <w:shd w:val="clear" w:color="auto" w:fill="F7F7F7"/>
          </w:tcPr>
          <w:p>
            <w:pPr>
              <w:spacing w:line="400" w:lineRule="exact"/>
              <w:ind w:left="1338" w:hanging="1338" w:hangingChars="637"/>
              <w:textAlignment w:val="baseline"/>
              <w:rPr>
                <w:rFonts w:ascii="微软雅黑" w:hAnsi="微软雅黑" w:eastAsia="微软雅黑"/>
                <w:color w:val="860000"/>
                <w:kern w:val="0"/>
              </w:rPr>
            </w:pPr>
            <w:r>
              <w:rPr>
                <w:rFonts w:hint="eastAsia" w:ascii="微软雅黑" w:hAnsi="微软雅黑" w:eastAsia="微软雅黑"/>
                <w:b/>
                <w:color w:val="860000"/>
              </w:rPr>
              <w:t>财务管理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房地产企业的生命密码—如何保持持续成长</w:t>
            </w:r>
          </w:p>
          <w:p>
            <w:pPr>
              <w:spacing w:line="400" w:lineRule="exact"/>
              <w:jc w:val="left"/>
              <w:rPr>
                <w:rFonts w:ascii="微软雅黑" w:hAnsi="微软雅黑" w:eastAsia="微软雅黑"/>
                <w:szCs w:val="21"/>
              </w:rPr>
            </w:pPr>
            <w:r>
              <w:rPr>
                <w:rFonts w:hint="eastAsia" w:ascii="微软雅黑" w:hAnsi="微软雅黑" w:eastAsia="微软雅黑"/>
                <w:szCs w:val="21"/>
              </w:rPr>
              <w:t>从财务的视角切入—该地产项目能赚钱吗</w:t>
            </w:r>
          </w:p>
          <w:p>
            <w:pPr>
              <w:spacing w:line="400" w:lineRule="exact"/>
              <w:jc w:val="left"/>
              <w:rPr>
                <w:rFonts w:ascii="微软雅黑" w:hAnsi="微软雅黑" w:eastAsia="微软雅黑"/>
                <w:szCs w:val="21"/>
              </w:rPr>
            </w:pPr>
            <w:r>
              <w:rPr>
                <w:rFonts w:hint="eastAsia" w:ascii="微软雅黑" w:hAnsi="微软雅黑" w:eastAsia="微软雅黑"/>
                <w:szCs w:val="21"/>
              </w:rPr>
              <w:t>读懂财务三张表比营销策略更重要</w:t>
            </w:r>
          </w:p>
          <w:p>
            <w:pPr>
              <w:spacing w:line="400" w:lineRule="exact"/>
              <w:jc w:val="left"/>
              <w:rPr>
                <w:rFonts w:ascii="微软雅黑" w:hAnsi="微软雅黑" w:eastAsia="微软雅黑"/>
                <w:szCs w:val="21"/>
              </w:rPr>
            </w:pPr>
            <w:r>
              <w:rPr>
                <w:rFonts w:hint="eastAsia" w:ascii="微软雅黑" w:hAnsi="微软雅黑" w:eastAsia="微软雅黑"/>
                <w:szCs w:val="21"/>
              </w:rPr>
              <w:t>财务分析—如何撬劢房企的“阿基米德”</w:t>
            </w:r>
          </w:p>
          <w:p>
            <w:pPr>
              <w:spacing w:line="400" w:lineRule="exact"/>
              <w:jc w:val="left"/>
              <w:rPr>
                <w:rFonts w:ascii="微软雅黑" w:hAnsi="微软雅黑" w:eastAsia="微软雅黑"/>
                <w:szCs w:val="21"/>
              </w:rPr>
            </w:pPr>
            <w:r>
              <w:rPr>
                <w:rFonts w:hint="eastAsia" w:ascii="微软雅黑" w:hAnsi="微软雅黑" w:eastAsia="微软雅黑"/>
                <w:szCs w:val="21"/>
              </w:rPr>
              <w:t>整体规划，实现税负下降 10%～30%</w:t>
            </w:r>
          </w:p>
          <w:p>
            <w:pPr>
              <w:spacing w:line="400" w:lineRule="exact"/>
              <w:jc w:val="left"/>
              <w:rPr>
                <w:rFonts w:ascii="微软雅黑" w:hAnsi="微软雅黑" w:eastAsia="微软雅黑"/>
                <w:szCs w:val="21"/>
              </w:rPr>
            </w:pPr>
            <w:r>
              <w:rPr>
                <w:rFonts w:hint="eastAsia" w:ascii="微软雅黑" w:hAnsi="微软雅黑" w:eastAsia="微软雅黑"/>
                <w:szCs w:val="21"/>
              </w:rPr>
              <w:t>融资拿地税务规划与风险管理</w:t>
            </w:r>
          </w:p>
          <w:p>
            <w:pPr>
              <w:spacing w:line="400" w:lineRule="exact"/>
              <w:jc w:val="left"/>
              <w:rPr>
                <w:rFonts w:ascii="微软雅黑" w:hAnsi="微软雅黑" w:eastAsia="微软雅黑"/>
                <w:szCs w:val="21"/>
              </w:rPr>
            </w:pPr>
            <w:r>
              <w:rPr>
                <w:rFonts w:hint="eastAsia" w:ascii="微软雅黑" w:hAnsi="微软雅黑" w:eastAsia="微软雅黑"/>
                <w:szCs w:val="21"/>
              </w:rPr>
              <w:t>开发阶段税务规划与税务风险管理</w:t>
            </w:r>
          </w:p>
          <w:p>
            <w:pPr>
              <w:spacing w:line="400" w:lineRule="exact"/>
              <w:jc w:val="left"/>
              <w:rPr>
                <w:rFonts w:ascii="微软雅黑" w:hAnsi="微软雅黑" w:eastAsia="微软雅黑"/>
                <w:szCs w:val="21"/>
              </w:rPr>
            </w:pPr>
            <w:r>
              <w:rPr>
                <w:rFonts w:hint="eastAsia" w:ascii="微软雅黑" w:hAnsi="微软雅黑" w:eastAsia="微软雅黑"/>
                <w:szCs w:val="21"/>
              </w:rPr>
              <w:t>如何解决土地增值税清算问题</w:t>
            </w:r>
          </w:p>
          <w:p>
            <w:pPr>
              <w:spacing w:line="400" w:lineRule="exact"/>
              <w:jc w:val="left"/>
              <w:rPr>
                <w:rFonts w:ascii="微软雅黑" w:hAnsi="微软雅黑" w:eastAsia="微软雅黑"/>
                <w:szCs w:val="21"/>
              </w:rPr>
            </w:pPr>
            <w:r>
              <w:rPr>
                <w:rFonts w:hint="eastAsia" w:ascii="微软雅黑" w:hAnsi="微软雅黑" w:eastAsia="微软雅黑"/>
                <w:szCs w:val="21"/>
              </w:rPr>
              <w:t>如何顺利实现房地产项目清算注销</w:t>
            </w:r>
          </w:p>
          <w:p>
            <w:pPr>
              <w:spacing w:line="400" w:lineRule="exact"/>
              <w:jc w:val="left"/>
              <w:rPr>
                <w:rFonts w:ascii="宋体" w:hAnsi="宋体"/>
                <w:kern w:val="0"/>
              </w:rPr>
            </w:pPr>
            <w:r>
              <w:rPr>
                <w:rFonts w:hint="eastAsia" w:ascii="微软雅黑" w:hAnsi="微软雅黑" w:eastAsia="微软雅黑"/>
                <w:szCs w:val="21"/>
              </w:rPr>
              <w:t>如何化解税务稽查危机</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93" w:hRule="atLeast"/>
          <w:jc w:val="center"/>
        </w:trPr>
        <w:tc>
          <w:tcPr>
            <w:tcW w:w="9962" w:type="dxa"/>
            <w:gridSpan w:val="2"/>
            <w:shd w:val="clear" w:color="auto" w:fill="860000"/>
          </w:tcPr>
          <w:p>
            <w:pPr>
              <w:widowControl/>
              <w:spacing w:before="156" w:beforeLines="50" w:after="156" w:afterLines="50" w:line="400" w:lineRule="exact"/>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第二课堂</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231" w:hRule="atLeast"/>
          <w:jc w:val="center"/>
        </w:trPr>
        <w:tc>
          <w:tcPr>
            <w:tcW w:w="4744" w:type="dxa"/>
            <w:shd w:val="clear" w:color="auto" w:fill="F7F7F7"/>
          </w:tcPr>
          <w:p>
            <w:pPr>
              <w:widowControl/>
              <w:spacing w:line="400" w:lineRule="exact"/>
              <w:jc w:val="left"/>
              <w:rPr>
                <w:rFonts w:ascii="宋体" w:hAnsi="宋体"/>
                <w:kern w:val="0"/>
              </w:rPr>
            </w:pPr>
            <w:r>
              <w:rPr>
                <w:rFonts w:hint="eastAsia" w:ascii="微软雅黑" w:hAnsi="微软雅黑" w:eastAsia="微软雅黑"/>
                <w:b/>
                <w:color w:val="860000"/>
                <w:kern w:val="0"/>
              </w:rPr>
              <w:t>团队拓展</w:t>
            </w:r>
            <w:r>
              <w:rPr>
                <w:rFonts w:hint="eastAsia" w:ascii="微软雅黑" w:hAnsi="微软雅黑" w:eastAsia="微软雅黑"/>
                <w:color w:val="860000"/>
                <w:szCs w:val="21"/>
              </w:rPr>
              <w:t>：</w:t>
            </w:r>
            <w:r>
              <w:rPr>
                <w:rFonts w:hint="eastAsia" w:ascii="微软雅黑" w:hAnsi="微软雅黑" w:eastAsia="微软雅黑"/>
                <w:szCs w:val="21"/>
              </w:rPr>
              <w:t>高尔夫、羽毛球、赛艇、爬山等团队活动。</w:t>
            </w:r>
          </w:p>
          <w:p>
            <w:pPr>
              <w:widowControl/>
              <w:spacing w:line="400" w:lineRule="exact"/>
              <w:jc w:val="left"/>
              <w:rPr>
                <w:rFonts w:ascii="宋体" w:hAnsi="宋体"/>
                <w:kern w:val="0"/>
              </w:rPr>
            </w:pPr>
            <w:r>
              <w:rPr>
                <w:rFonts w:hint="eastAsia" w:ascii="微软雅黑" w:hAnsi="微软雅黑" w:eastAsia="微软雅黑"/>
                <w:b/>
                <w:color w:val="860000"/>
                <w:kern w:val="0"/>
              </w:rPr>
              <w:t>专业分享</w:t>
            </w:r>
            <w:r>
              <w:rPr>
                <w:rFonts w:hint="eastAsia" w:ascii="微软雅黑" w:hAnsi="微软雅黑" w:eastAsia="微软雅黑"/>
                <w:color w:val="860000"/>
                <w:szCs w:val="21"/>
              </w:rPr>
              <w:t>：</w:t>
            </w:r>
            <w:r>
              <w:rPr>
                <w:rFonts w:hint="eastAsia" w:ascii="微软雅黑" w:hAnsi="微软雅黑" w:eastAsia="微软雅黑"/>
                <w:szCs w:val="21"/>
              </w:rPr>
              <w:t>区块链、众筹、海外投资、比特币、专业法律等。</w:t>
            </w:r>
          </w:p>
        </w:tc>
        <w:tc>
          <w:tcPr>
            <w:tcW w:w="5218" w:type="dxa"/>
            <w:shd w:val="clear" w:color="auto" w:fill="F7F7F7"/>
          </w:tcPr>
          <w:p>
            <w:pPr>
              <w:widowControl/>
              <w:spacing w:line="400" w:lineRule="exact"/>
              <w:ind w:left="-86" w:leftChars="-41"/>
              <w:rPr>
                <w:rFonts w:ascii="微软雅黑" w:hAnsi="微软雅黑" w:eastAsia="微软雅黑"/>
                <w:szCs w:val="21"/>
              </w:rPr>
            </w:pPr>
            <w:r>
              <w:rPr>
                <w:rFonts w:hint="eastAsia" w:ascii="微软雅黑" w:hAnsi="微软雅黑" w:eastAsia="微软雅黑"/>
                <w:b/>
                <w:color w:val="860000"/>
                <w:kern w:val="0"/>
              </w:rPr>
              <w:t>资源对接</w:t>
            </w:r>
            <w:r>
              <w:rPr>
                <w:rFonts w:hint="eastAsia" w:ascii="微软雅黑" w:hAnsi="微软雅黑" w:eastAsia="微软雅黑"/>
                <w:color w:val="860000"/>
                <w:szCs w:val="21"/>
              </w:rPr>
              <w:t>：</w:t>
            </w:r>
            <w:r>
              <w:rPr>
                <w:rFonts w:hint="eastAsia" w:ascii="微软雅黑" w:hAnsi="微软雅黑" w:eastAsia="微软雅黑"/>
                <w:szCs w:val="21"/>
              </w:rPr>
              <w:t>定期举办房地产人才、土地、金融、项目等资源对接会。</w:t>
            </w:r>
          </w:p>
          <w:p>
            <w:pPr>
              <w:widowControl/>
              <w:spacing w:line="400" w:lineRule="exact"/>
              <w:ind w:left="-86" w:leftChars="-41"/>
              <w:rPr>
                <w:rFonts w:ascii="宋体" w:hAnsi="宋体"/>
                <w:color w:val="000000" w:themeColor="text1"/>
                <w:kern w:val="0"/>
                <w14:textFill>
                  <w14:solidFill>
                    <w14:schemeClr w14:val="tx1"/>
                  </w14:solidFill>
                </w14:textFill>
              </w:rPr>
            </w:pPr>
            <w:r>
              <w:rPr>
                <w:rFonts w:hint="eastAsia" w:ascii="微软雅黑" w:hAnsi="微软雅黑" w:eastAsia="微软雅黑"/>
                <w:b/>
                <w:color w:val="860000"/>
                <w:kern w:val="0"/>
              </w:rPr>
              <w:t>研讨会：</w:t>
            </w:r>
            <w:r>
              <w:rPr>
                <w:rFonts w:hint="eastAsia" w:ascii="微软雅黑" w:hAnsi="微软雅黑" w:eastAsia="微软雅黑"/>
                <w:color w:val="000000" w:themeColor="text1"/>
                <w:kern w:val="0"/>
                <w14:textFill>
                  <w14:solidFill>
                    <w14:schemeClr w14:val="tx1"/>
                  </w14:solidFill>
                </w14:textFill>
              </w:rPr>
              <w:t>不定期举办行业热点研讨会，邀请业内大咖共话行业未来。</w:t>
            </w:r>
          </w:p>
        </w:tc>
      </w:tr>
    </w:tbl>
    <w:p>
      <w:pPr>
        <w:tabs>
          <w:tab w:val="left" w:pos="8850"/>
          <w:tab w:val="right" w:pos="9746"/>
        </w:tabs>
        <w:spacing w:before="156" w:beforeLines="50" w:after="156" w:afterLines="50"/>
        <w:ind w:firstLine="141" w:firstLineChars="47"/>
        <w:rPr>
          <w:rFonts w:ascii="微软雅黑" w:hAnsi="微软雅黑" w:eastAsia="微软雅黑"/>
          <w:b/>
          <w:color w:val="860000"/>
          <w:sz w:val="30"/>
          <w:szCs w:val="30"/>
        </w:rPr>
      </w:pPr>
    </w:p>
    <w:p>
      <w:pPr>
        <w:tabs>
          <w:tab w:val="left" w:pos="8850"/>
          <w:tab w:val="right" w:pos="9746"/>
        </w:tabs>
        <w:spacing w:before="156" w:beforeLines="50" w:after="156" w:afterLines="50"/>
        <w:ind w:firstLine="141" w:firstLineChars="47"/>
        <w:rPr>
          <w:rFonts w:ascii="微软雅黑" w:hAnsi="微软雅黑" w:eastAsia="微软雅黑"/>
          <w:b/>
          <w:color w:val="860000"/>
          <w:sz w:val="30"/>
          <w:szCs w:val="30"/>
        </w:rPr>
      </w:pPr>
      <w:r>
        <w:rPr>
          <w:rFonts w:hint="eastAsia" w:ascii="微软雅黑" w:hAnsi="微软雅黑" w:eastAsia="微软雅黑"/>
          <w:b/>
          <w:color w:val="860000"/>
          <w:sz w:val="30"/>
          <w:szCs w:val="30"/>
        </w:rPr>
        <w:t>◆资源对接</w:t>
      </w:r>
      <w:r>
        <w:rPr>
          <w:rFonts w:ascii="微软雅黑" w:hAnsi="微软雅黑" w:eastAsia="微软雅黑"/>
          <w:b/>
          <w:color w:val="860000"/>
          <w:sz w:val="30"/>
          <w:szCs w:val="30"/>
        </w:rPr>
        <w:tab/>
      </w:r>
      <w:r>
        <w:rPr>
          <w:rFonts w:ascii="微软雅黑" w:hAnsi="微软雅黑" w:eastAsia="微软雅黑"/>
          <w:b/>
          <w:color w:val="860000"/>
          <w:sz w:val="30"/>
          <w:szCs w:val="30"/>
        </w:rPr>
        <w:tab/>
      </w:r>
    </w:p>
    <w:p>
      <w:pPr>
        <w:jc w:val="center"/>
      </w:pPr>
      <w:r>
        <w:drawing>
          <wp:inline distT="0" distB="0" distL="0" distR="0">
            <wp:extent cx="4694555" cy="33451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6060" cy="3338988"/>
                    </a:xfrm>
                    <a:prstGeom prst="rect">
                      <a:avLst/>
                    </a:prstGeom>
                    <a:ln>
                      <a:noFill/>
                    </a:ln>
                  </pic:spPr>
                </pic:pic>
              </a:graphicData>
            </a:graphic>
          </wp:inline>
        </w:drawing>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智力资源对接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shd w:val="clear" w:color="auto" w:fill="FFFFFF" w:themeFill="background1"/>
        </w:rPr>
      </w:pPr>
      <w:r>
        <w:rPr>
          <w:rFonts w:hint="eastAsia" w:ascii="微软雅黑" w:hAnsi="微软雅黑" w:eastAsia="微软雅黑"/>
          <w:szCs w:val="21"/>
          <w:shd w:val="clear" w:color="auto" w:fill="FFFFFF" w:themeFill="background1"/>
        </w:rPr>
        <w:t>平台联合万达、万科、恒大、碧桂园等核心高管成立标杆智库团队，针对学员企业进行一对一专业指导。</w:t>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金融资源对接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rPr>
      </w:pPr>
      <w:r>
        <w:rPr>
          <w:rFonts w:hint="eastAsia" w:ascii="微软雅黑" w:hAnsi="微软雅黑" w:eastAsia="微软雅黑"/>
          <w:szCs w:val="21"/>
        </w:rPr>
        <w:t>平台成立亚太房地产专项基金，投资优质的学员企业，整合300家房产金融资源线上、线下交流对接。</w:t>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土地资源对接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rPr>
      </w:pPr>
      <w:r>
        <w:rPr>
          <w:rFonts w:hint="eastAsia" w:ascii="微软雅黑" w:hAnsi="微软雅黑" w:eastAsia="微软雅黑"/>
          <w:szCs w:val="21"/>
        </w:rPr>
        <w:t>1000+家北大房地产企业家校友社群资源、线上土地信息互动。课后项目合作路演，现场对接土地信息。</w:t>
      </w:r>
    </w:p>
    <w:p>
      <w:pPr>
        <w:tabs>
          <w:tab w:val="center" w:pos="5023"/>
        </w:tabs>
        <w:spacing w:before="156" w:beforeLines="50" w:after="156" w:afterLines="50"/>
        <w:rPr>
          <w:rFonts w:ascii="微软雅黑" w:hAnsi="微软雅黑" w:eastAsia="微软雅黑"/>
          <w:b/>
          <w:color w:val="A40000"/>
          <w:sz w:val="30"/>
          <w:szCs w:val="30"/>
        </w:rPr>
      </w:pPr>
    </w:p>
    <w:p>
      <w:pPr>
        <w:tabs>
          <w:tab w:val="center" w:pos="5023"/>
        </w:tabs>
        <w:spacing w:before="156" w:beforeLines="50" w:after="156" w:afterLines="50"/>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◆授课师资（部分）</w:t>
      </w:r>
      <w:r>
        <w:rPr>
          <w:rFonts w:ascii="微软雅黑" w:hAnsi="微软雅黑" w:eastAsia="微软雅黑"/>
          <w:b/>
          <w:color w:val="860000"/>
          <w:sz w:val="30"/>
          <w:szCs w:val="30"/>
        </w:rPr>
        <w:tab/>
      </w:r>
    </w:p>
    <w:tbl>
      <w:tblPr>
        <w:tblStyle w:val="1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24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014"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分类</w:t>
            </w:r>
          </w:p>
        </w:tc>
        <w:tc>
          <w:tcPr>
            <w:tcW w:w="2242"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讲师</w:t>
            </w:r>
          </w:p>
        </w:tc>
        <w:tc>
          <w:tcPr>
            <w:tcW w:w="6237"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资历介绍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学</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术</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董志勇</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北京大学经济学院党委书纪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冯  科</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辉</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林  坚</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北京大学城市与环境学院教授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延</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易宪容</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原中国社科院金融研究所金融发展室主任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政</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策</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仇保兴</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国务院参事、原住建部副部长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秦  红</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住建部政策研究中心研究员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乔润令</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国家发改委城市和小城镇改革发展中心副主任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陈  淮</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建设部政策研究中心主任、中国城乡建设经济研究所所长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刘志峰</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中国房地产协会会长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行</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业</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陈  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万达集团副总裁，万达商学院院长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任志强</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原华远地产董事长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张昌祥</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原万达集团区域总经理，律腾集团董事长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张凯胜</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原龙湖集团商业副总经理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叶杨春</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原万科地产营销高管、资深营销总监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高  剑</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万科集团建筑研究中心总策划师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斌</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华为大学项目管理教授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孟晓苏</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中房集团理事长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毛大庆</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优客工厂创始人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刘玲琳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原华侨城集团高管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David陈</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越秀地产董事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王亚平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泛海集团商业总经理、副总裁</w:t>
            </w:r>
          </w:p>
        </w:tc>
      </w:tr>
    </w:tbl>
    <w:p>
      <w:r>
        <w:rPr>
          <w:rFonts w:hint="eastAsia"/>
        </w:rPr>
        <w:t>以上师资均为部分拟请，具体会根据老师时间有所相应调整，以实际上课通知为准。</w:t>
      </w:r>
    </w:p>
    <w:p>
      <w:pPr>
        <w:rPr>
          <w:rFonts w:ascii="宋体" w:hAnsi="宋体"/>
          <w:b/>
          <w:bCs/>
          <w:color w:val="860000"/>
          <w:szCs w:val="21"/>
        </w:rPr>
      </w:pPr>
      <w:r>
        <w:rPr>
          <w:rFonts w:hint="eastAsia" w:ascii="微软雅黑" w:hAnsi="微软雅黑" w:eastAsia="微软雅黑"/>
          <w:b/>
          <w:color w:val="860000"/>
          <w:sz w:val="30"/>
          <w:szCs w:val="30"/>
        </w:rPr>
        <w:t>◆传统总裁班与标杆地产平台的区别</w:t>
      </w:r>
    </w:p>
    <w:tbl>
      <w:tblPr>
        <w:tblStyle w:val="13"/>
        <w:tblpPr w:leftFromText="180" w:rightFromText="180" w:vertAnchor="text" w:horzAnchor="margin" w:tblpX="-176" w:tblpY="2"/>
        <w:tblOverlap w:val="never"/>
        <w:tblW w:w="990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268"/>
        <w:gridCol w:w="60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545" w:type="dxa"/>
            <w:tcBorders>
              <w:top w:val="double" w:color="auto" w:sz="4" w:space="0"/>
              <w:bottom w:val="single" w:color="auto" w:sz="4" w:space="0"/>
            </w:tcBorders>
            <w:shd w:val="clear" w:color="auto" w:fill="860000"/>
            <w:vAlign w:val="center"/>
          </w:tcPr>
          <w:p>
            <w:pPr>
              <w:pStyle w:val="14"/>
              <w:spacing w:line="380" w:lineRule="exact"/>
              <w:ind w:firstLine="220" w:firstLineChars="100"/>
              <w:jc w:val="center"/>
              <w:rPr>
                <w:rFonts w:ascii="微软雅黑" w:hAnsi="微软雅黑" w:eastAsia="微软雅黑"/>
                <w:b/>
                <w:bCs/>
                <w:color w:val="FFFFFF" w:themeColor="background1"/>
                <w:kern w:val="0"/>
                <w:sz w:val="22"/>
                <w:szCs w:val="28"/>
                <w14:textFill>
                  <w14:solidFill>
                    <w14:schemeClr w14:val="bg1"/>
                  </w14:solidFill>
                </w14:textFill>
              </w:rPr>
            </w:pPr>
            <w:r>
              <w:rPr>
                <w:rFonts w:hint="eastAsia" w:ascii="微软雅黑" w:hAnsi="微软雅黑" w:eastAsia="微软雅黑"/>
                <w:b/>
                <w:bCs/>
                <w:color w:val="FFFFFF" w:themeColor="background1"/>
                <w:kern w:val="0"/>
                <w:sz w:val="22"/>
                <w:szCs w:val="28"/>
                <w14:textFill>
                  <w14:solidFill>
                    <w14:schemeClr w14:val="bg1"/>
                  </w14:solidFill>
                </w14:textFill>
              </w:rPr>
              <w:t>项目</w:t>
            </w:r>
          </w:p>
        </w:tc>
        <w:tc>
          <w:tcPr>
            <w:tcW w:w="2268" w:type="dxa"/>
            <w:tcBorders>
              <w:top w:val="double" w:color="auto" w:sz="4" w:space="0"/>
              <w:bottom w:val="single" w:color="auto" w:sz="4" w:space="0"/>
            </w:tcBorders>
            <w:shd w:val="clear" w:color="auto" w:fill="860000"/>
            <w:vAlign w:val="center"/>
          </w:tcPr>
          <w:p>
            <w:pPr>
              <w:spacing w:line="380" w:lineRule="exact"/>
              <w:ind w:firstLine="240" w:firstLineChars="100"/>
              <w:jc w:val="center"/>
              <w:rPr>
                <w:rFonts w:ascii="微软雅黑" w:hAnsi="微软雅黑" w:eastAsia="微软雅黑"/>
                <w:b/>
                <w:bCs/>
                <w:color w:val="FFFFFF" w:themeColor="background1"/>
                <w:kern w:val="0"/>
                <w:sz w:val="24"/>
                <w:szCs w:val="28"/>
                <w14:textFill>
                  <w14:solidFill>
                    <w14:schemeClr w14:val="bg1"/>
                  </w14:solidFill>
                </w14:textFill>
              </w:rPr>
            </w:pPr>
            <w:r>
              <w:rPr>
                <w:rFonts w:hint="eastAsia" w:ascii="微软雅黑" w:hAnsi="微软雅黑" w:eastAsia="微软雅黑"/>
                <w:b/>
                <w:bCs/>
                <w:color w:val="FFFFFF" w:themeColor="background1"/>
                <w:kern w:val="0"/>
                <w:sz w:val="24"/>
                <w:szCs w:val="28"/>
                <w14:textFill>
                  <w14:solidFill>
                    <w14:schemeClr w14:val="bg1"/>
                  </w14:solidFill>
                </w14:textFill>
              </w:rPr>
              <w:t>传统总裁班</w:t>
            </w:r>
          </w:p>
        </w:tc>
        <w:tc>
          <w:tcPr>
            <w:tcW w:w="6095" w:type="dxa"/>
            <w:tcBorders>
              <w:top w:val="double" w:color="auto" w:sz="4" w:space="0"/>
              <w:bottom w:val="single" w:color="auto" w:sz="4" w:space="0"/>
            </w:tcBorders>
            <w:shd w:val="clear" w:color="auto" w:fill="860000"/>
            <w:vAlign w:val="center"/>
          </w:tcPr>
          <w:p>
            <w:pPr>
              <w:pStyle w:val="14"/>
              <w:spacing w:line="380" w:lineRule="exact"/>
              <w:ind w:firstLine="960" w:firstLineChars="400"/>
              <w:jc w:val="center"/>
              <w:rPr>
                <w:rFonts w:ascii="微软雅黑" w:hAnsi="微软雅黑" w:eastAsia="微软雅黑"/>
                <w:b/>
                <w:bCs/>
                <w:color w:val="FFFFFF" w:themeColor="background1"/>
                <w:kern w:val="0"/>
                <w:sz w:val="24"/>
                <w:szCs w:val="28"/>
                <w14:textFill>
                  <w14:solidFill>
                    <w14:schemeClr w14:val="bg1"/>
                  </w14:solidFill>
                </w14:textFill>
              </w:rPr>
            </w:pPr>
            <w:r>
              <w:rPr>
                <w:rFonts w:hint="eastAsia" w:ascii="微软雅黑" w:hAnsi="微软雅黑" w:eastAsia="微软雅黑"/>
                <w:b/>
                <w:bCs/>
                <w:color w:val="FFFFFF" w:themeColor="background1"/>
                <w:kern w:val="0"/>
                <w:sz w:val="24"/>
                <w:szCs w:val="28"/>
                <w14:textFill>
                  <w14:solidFill>
                    <w14:schemeClr w14:val="bg1"/>
                  </w14:solidFill>
                </w14:textFill>
              </w:rPr>
              <w:t>标杆地产平台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tcBorders>
              <w:top w:val="single" w:color="auto" w:sz="4" w:space="0"/>
            </w:tcBorders>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学员构成</w:t>
            </w:r>
          </w:p>
        </w:tc>
        <w:tc>
          <w:tcPr>
            <w:tcW w:w="2268" w:type="dxa"/>
            <w:tcBorders>
              <w:top w:val="single" w:color="auto" w:sz="4" w:space="0"/>
            </w:tcBorders>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缺少学员定位</w:t>
            </w:r>
            <w:r>
              <w:rPr>
                <w:rFonts w:hint="eastAsia" w:ascii="微软雅黑" w:hAnsi="微软雅黑" w:eastAsia="微软雅黑"/>
                <w:color w:val="A6A6A6" w:themeColor="background1" w:themeShade="A6"/>
                <w:kern w:val="0"/>
                <w:sz w:val="21"/>
                <w:szCs w:val="21"/>
              </w:rPr>
              <w:t>，</w:t>
            </w:r>
            <w:r>
              <w:rPr>
                <w:rFonts w:ascii="微软雅黑" w:hAnsi="微软雅黑" w:eastAsia="微软雅黑"/>
                <w:color w:val="A6A6A6" w:themeColor="background1" w:themeShade="A6"/>
                <w:kern w:val="0"/>
                <w:sz w:val="21"/>
                <w:szCs w:val="21"/>
              </w:rPr>
              <w:t>各种行业都有</w:t>
            </w:r>
          </w:p>
        </w:tc>
        <w:tc>
          <w:tcPr>
            <w:tcW w:w="6095" w:type="dxa"/>
            <w:tcBorders>
              <w:top w:val="single" w:color="auto" w:sz="4" w:space="0"/>
            </w:tcBorders>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专注于地产开发企业，只对政府、地产、金融机构高管开放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上课方式</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纯课堂讲授</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课堂讲授</w:t>
            </w:r>
            <w:r>
              <w:rPr>
                <w:rFonts w:hint="eastAsia" w:ascii="微软雅黑" w:hAnsi="微软雅黑" w:eastAsia="微软雅黑"/>
                <w:kern w:val="0"/>
                <w:sz w:val="21"/>
                <w:szCs w:val="21"/>
              </w:rPr>
              <w:t>+项目参访+课后辅导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课程模块</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基于老师安排课程，系统性弱</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紧跟房地产开发全流程和管理全流程，层层递进、环环相扣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课后活动</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同学自发偶尔组织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每次课程组织主题性同学联谊会、总裁沙龙、同学互助沙龙等聚会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同学会</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同学自发组织同学会，</w:t>
            </w:r>
          </w:p>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彼此单方面寻找合作机会</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项目组发起组织俱乐部，整合政界、学界、教育界、地产界资源为学员打造立体互动平台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标杆智库辅导</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整合行业内专家</w:t>
            </w:r>
            <w:r>
              <w:rPr>
                <w:rFonts w:hint="eastAsia" w:ascii="微软雅黑" w:hAnsi="微软雅黑" w:eastAsia="微软雅黑"/>
                <w:kern w:val="0"/>
                <w:sz w:val="21"/>
                <w:szCs w:val="21"/>
              </w:rPr>
              <w:t>组成行业智库</w:t>
            </w:r>
            <w:r>
              <w:rPr>
                <w:rFonts w:ascii="微软雅黑" w:hAnsi="微软雅黑" w:eastAsia="微软雅黑"/>
                <w:kern w:val="0"/>
                <w:sz w:val="21"/>
                <w:szCs w:val="21"/>
              </w:rPr>
              <w:t>为学员企业战略规划、商业模式设计</w:t>
            </w:r>
            <w:r>
              <w:rPr>
                <w:rFonts w:hint="eastAsia" w:ascii="微软雅黑" w:hAnsi="微软雅黑" w:eastAsia="微软雅黑"/>
                <w:kern w:val="0"/>
                <w:sz w:val="21"/>
                <w:szCs w:val="21"/>
              </w:rPr>
              <w:t>、营销管理、规范经营体系</w:t>
            </w:r>
            <w:r>
              <w:rPr>
                <w:rFonts w:ascii="微软雅黑" w:hAnsi="微软雅黑" w:eastAsia="微软雅黑"/>
                <w:kern w:val="0"/>
                <w:sz w:val="21"/>
                <w:szCs w:val="21"/>
              </w:rPr>
              <w:t>等做深度辅导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产业资源对接</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经常举办小型沙龙为产业链之间合作交流嫁接平台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项目诊断</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根据企业需要组织学者、专家、操盘手为学员项目做诊断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投融资对接</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项目组联合银行、保险、基金、信托等金融机构</w:t>
            </w:r>
          </w:p>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为学员企业投融资</w:t>
            </w:r>
            <w:r>
              <w:rPr>
                <w:rFonts w:hint="eastAsia" w:ascii="微软雅黑" w:hAnsi="微软雅黑" w:eastAsia="微软雅黑"/>
                <w:kern w:val="0"/>
                <w:sz w:val="21"/>
                <w:szCs w:val="21"/>
              </w:rPr>
              <w:t>提供</w:t>
            </w:r>
            <w:r>
              <w:rPr>
                <w:rFonts w:ascii="微软雅黑" w:hAnsi="微软雅黑" w:eastAsia="微软雅黑"/>
                <w:kern w:val="0"/>
                <w:sz w:val="21"/>
                <w:szCs w:val="21"/>
              </w:rPr>
              <w:t>对接服务</w:t>
            </w:r>
          </w:p>
        </w:tc>
      </w:tr>
    </w:tbl>
    <w:p>
      <w:pPr>
        <w:rPr>
          <w:rFonts w:ascii="宋体" w:hAnsi="宋体"/>
          <w:b/>
          <w:bCs/>
          <w:color w:val="000000"/>
          <w:szCs w:val="21"/>
        </w:rPr>
      </w:pP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◆招生对象</w:t>
      </w:r>
    </w:p>
    <w:p>
      <w:pPr>
        <w:spacing w:line="500" w:lineRule="exact"/>
        <w:jc w:val="left"/>
        <w:rPr>
          <w:rFonts w:ascii="微软雅黑" w:hAnsi="微软雅黑" w:eastAsia="微软雅黑"/>
          <w:szCs w:val="21"/>
        </w:rPr>
      </w:pPr>
      <w:r>
        <w:rPr>
          <w:rFonts w:hint="eastAsia" w:ascii="微软雅黑" w:hAnsi="微软雅黑" w:eastAsia="微软雅黑"/>
          <w:szCs w:val="21"/>
        </w:rPr>
        <w:t>5年以上房地产开发投资的成长性企业</w:t>
      </w:r>
    </w:p>
    <w:p>
      <w:pPr>
        <w:spacing w:line="500" w:lineRule="exact"/>
        <w:jc w:val="left"/>
        <w:rPr>
          <w:rFonts w:ascii="微软雅黑" w:hAnsi="微软雅黑" w:eastAsia="微软雅黑"/>
          <w:szCs w:val="21"/>
        </w:rPr>
      </w:pPr>
      <w:r>
        <w:rPr>
          <w:rFonts w:hint="eastAsia" w:ascii="微软雅黑" w:hAnsi="微软雅黑" w:eastAsia="微软雅黑"/>
          <w:szCs w:val="21"/>
        </w:rPr>
        <w:t>具备创新型项目的新型企业</w:t>
      </w:r>
    </w:p>
    <w:p>
      <w:pPr>
        <w:spacing w:line="500" w:lineRule="exact"/>
        <w:jc w:val="left"/>
        <w:rPr>
          <w:rFonts w:ascii="微软雅黑" w:hAnsi="微软雅黑" w:eastAsia="微软雅黑"/>
          <w:szCs w:val="21"/>
        </w:rPr>
      </w:pPr>
      <w:r>
        <w:rPr>
          <w:rFonts w:hint="eastAsia" w:ascii="微软雅黑" w:hAnsi="微软雅黑" w:eastAsia="微软雅黑"/>
          <w:szCs w:val="21"/>
        </w:rPr>
        <w:t>转型升级的品牌企业</w:t>
      </w:r>
    </w:p>
    <w:p>
      <w:pPr>
        <w:spacing w:line="500" w:lineRule="exact"/>
        <w:jc w:val="left"/>
        <w:rPr>
          <w:rFonts w:ascii="微软雅黑" w:hAnsi="微软雅黑" w:eastAsia="微软雅黑"/>
          <w:szCs w:val="21"/>
        </w:rPr>
      </w:pPr>
      <w:r>
        <w:rPr>
          <w:rFonts w:hint="eastAsia" w:ascii="微软雅黑" w:hAnsi="微软雅黑" w:eastAsia="微软雅黑"/>
          <w:szCs w:val="21"/>
        </w:rPr>
        <w:t xml:space="preserve">成熟品牌的优秀企业 </w:t>
      </w:r>
    </w:p>
    <w:p>
      <w:pPr>
        <w:spacing w:line="360" w:lineRule="auto"/>
        <w:rPr>
          <w:rFonts w:ascii="微软雅黑" w:hAnsi="微软雅黑" w:eastAsia="微软雅黑"/>
          <w:b/>
          <w:color w:val="860000"/>
          <w:szCs w:val="21"/>
        </w:rPr>
      </w:pPr>
      <w:r>
        <w:rPr>
          <w:rFonts w:ascii="微软雅黑" w:hAnsi="微软雅黑" w:eastAsia="微软雅黑"/>
          <w:b/>
          <w:color w:val="860000"/>
          <w:szCs w:val="21"/>
        </w:rPr>
        <w:t>注：本班只限地产开发企业及政府相关单位学员参加。</w:t>
      </w:r>
    </w:p>
    <w:p>
      <w:pPr>
        <w:spacing w:line="360" w:lineRule="auto"/>
        <w:rPr>
          <w:rFonts w:ascii="微软雅黑" w:hAnsi="微软雅黑" w:eastAsia="微软雅黑"/>
          <w:b/>
          <w:color w:val="A40000"/>
          <w:szCs w:val="21"/>
        </w:rPr>
      </w:pP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◆教务信息</w:t>
      </w:r>
    </w:p>
    <w:p>
      <w:pPr>
        <w:spacing w:line="500" w:lineRule="exact"/>
        <w:jc w:val="left"/>
        <w:rPr>
          <w:rFonts w:ascii="微软雅黑" w:hAnsi="微软雅黑" w:eastAsia="微软雅黑"/>
          <w:szCs w:val="21"/>
        </w:rPr>
      </w:pPr>
      <w:r>
        <w:rPr>
          <w:rFonts w:hint="eastAsia" w:ascii="微软雅黑" w:hAnsi="微软雅黑" w:eastAsia="微软雅黑"/>
          <w:b/>
          <w:szCs w:val="21"/>
        </w:rPr>
        <w:t>学制：</w:t>
      </w:r>
      <w:r>
        <w:rPr>
          <w:rFonts w:hint="eastAsia" w:ascii="微软雅黑" w:hAnsi="微软雅黑" w:eastAsia="微软雅黑"/>
          <w:szCs w:val="21"/>
        </w:rPr>
        <w:t>1年，每个月上一次课，一次课2天</w:t>
      </w:r>
    </w:p>
    <w:p>
      <w:pPr>
        <w:spacing w:line="500" w:lineRule="exact"/>
        <w:jc w:val="left"/>
        <w:rPr>
          <w:rFonts w:ascii="微软雅黑" w:hAnsi="微软雅黑" w:eastAsia="微软雅黑"/>
          <w:szCs w:val="21"/>
        </w:rPr>
      </w:pPr>
      <w:r>
        <w:rPr>
          <w:rFonts w:hint="eastAsia" w:ascii="微软雅黑" w:hAnsi="微软雅黑" w:eastAsia="微软雅黑"/>
          <w:b/>
          <w:szCs w:val="21"/>
        </w:rPr>
        <w:t>学费：</w:t>
      </w:r>
      <w:r>
        <w:rPr>
          <w:rFonts w:hint="eastAsia" w:ascii="微软雅黑" w:hAnsi="微软雅黑" w:eastAsia="微软雅黑"/>
          <w:szCs w:val="21"/>
        </w:rPr>
        <w:t>人民币</w:t>
      </w:r>
      <w:r>
        <w:rPr>
          <w:rFonts w:ascii="微软雅黑" w:hAnsi="微软雅黑" w:eastAsia="微软雅黑"/>
          <w:szCs w:val="21"/>
        </w:rPr>
        <w:t>9.8</w:t>
      </w:r>
      <w:r>
        <w:rPr>
          <w:rFonts w:hint="eastAsia" w:ascii="微软雅黑" w:hAnsi="微软雅黑" w:eastAsia="微软雅黑"/>
          <w:szCs w:val="21"/>
        </w:rPr>
        <w:t>万元/人（包括：报名费、学费、书本资料费、教学管理费、拓展培训费、证书费）学习期间的食宿费、交通费及国内外考察费自理。</w:t>
      </w:r>
    </w:p>
    <w:p>
      <w:pPr>
        <w:spacing w:line="500" w:lineRule="exact"/>
        <w:jc w:val="left"/>
        <w:rPr>
          <w:rFonts w:ascii="微软雅黑" w:hAnsi="微软雅黑" w:eastAsia="微软雅黑"/>
          <w:szCs w:val="21"/>
        </w:rPr>
      </w:pPr>
      <w:r>
        <w:rPr>
          <w:rFonts w:hint="eastAsia" w:ascii="微软雅黑" w:hAnsi="微软雅黑" w:eastAsia="微软雅黑"/>
          <w:b/>
          <w:szCs w:val="21"/>
        </w:rPr>
        <w:t>教学模式：</w:t>
      </w:r>
      <w:r>
        <w:rPr>
          <w:rFonts w:hint="eastAsia" w:ascii="微软雅黑" w:hAnsi="微软雅黑" w:eastAsia="微软雅黑"/>
          <w:szCs w:val="21"/>
        </w:rPr>
        <w:t>课程分享+案例分析+落地策略和疑难沟通+考察参观</w:t>
      </w:r>
    </w:p>
    <w:p>
      <w:pPr>
        <w:spacing w:line="500" w:lineRule="exact"/>
        <w:jc w:val="left"/>
        <w:rPr>
          <w:rFonts w:ascii="微软雅黑" w:hAnsi="微软雅黑" w:eastAsia="微软雅黑"/>
          <w:szCs w:val="21"/>
        </w:rPr>
      </w:pPr>
      <w:r>
        <w:rPr>
          <w:rFonts w:hint="eastAsia" w:ascii="微软雅黑" w:hAnsi="微软雅黑" w:eastAsia="微软雅黑"/>
          <w:b/>
          <w:szCs w:val="21"/>
        </w:rPr>
        <w:t>授课地点：</w:t>
      </w:r>
      <w:r>
        <w:rPr>
          <w:rFonts w:hint="eastAsia" w:ascii="微软雅黑" w:hAnsi="微软雅黑" w:eastAsia="微软雅黑"/>
          <w:szCs w:val="21"/>
        </w:rPr>
        <w:t>北京、学员项目</w:t>
      </w:r>
    </w:p>
    <w:p>
      <w:pPr>
        <w:spacing w:line="500" w:lineRule="exact"/>
        <w:jc w:val="left"/>
        <w:rPr>
          <w:rFonts w:hint="eastAsia" w:ascii="微软雅黑" w:hAnsi="微软雅黑" w:eastAsia="微软雅黑" w:cs="Times New Roman"/>
          <w:szCs w:val="21"/>
        </w:rPr>
      </w:pPr>
      <w:r>
        <w:rPr>
          <w:rFonts w:hint="eastAsia" w:ascii="微软雅黑" w:hAnsi="微软雅黑" w:eastAsia="微软雅黑" w:cs="Times New Roman"/>
          <w:szCs w:val="21"/>
        </w:rPr>
        <w:t>联系老师：</w:t>
      </w:r>
      <w:r>
        <w:rPr>
          <w:rFonts w:hint="eastAsia" w:ascii="微软雅黑" w:hAnsi="微软雅黑" w:eastAsia="微软雅黑" w:cs="Times New Roman"/>
          <w:szCs w:val="21"/>
          <w:lang w:eastAsia="zh-CN"/>
        </w:rPr>
        <w:t>张老师</w:t>
      </w:r>
      <w:r>
        <w:rPr>
          <w:rFonts w:hint="eastAsia" w:ascii="微软雅黑" w:hAnsi="微软雅黑" w:eastAsia="微软雅黑" w:cs="Times New Roman"/>
          <w:szCs w:val="21"/>
          <w:lang w:val="en-US" w:eastAsia="zh-CN"/>
        </w:rPr>
        <w:t xml:space="preserve"> 15801019329 （微信同号）</w:t>
      </w:r>
    </w:p>
    <w:p>
      <w:pPr>
        <w:spacing w:line="500" w:lineRule="exact"/>
        <w:jc w:val="left"/>
        <w:rPr>
          <w:rFonts w:hint="eastAsia" w:ascii="微软雅黑" w:hAnsi="微软雅黑" w:eastAsia="微软雅黑" w:cs="Times New Roman"/>
          <w:szCs w:val="21"/>
        </w:rPr>
      </w:pPr>
      <w:r>
        <w:rPr>
          <w:rFonts w:hint="eastAsia" w:ascii="微软雅黑" w:hAnsi="微软雅黑" w:eastAsia="微软雅黑" w:cs="Times New Roman"/>
          <w:szCs w:val="21"/>
        </w:rPr>
        <w:t>联系电话：</w:t>
      </w:r>
      <w:r>
        <w:rPr>
          <w:rFonts w:hint="eastAsia" w:ascii="微软雅黑" w:hAnsi="微软雅黑" w:eastAsia="微软雅黑" w:cs="Times New Roman"/>
          <w:szCs w:val="21"/>
          <w:lang w:val="en-US" w:eastAsia="zh-CN"/>
        </w:rPr>
        <w:t>010-56156755</w:t>
      </w:r>
    </w:p>
    <w:p>
      <w:pPr>
        <w:spacing w:line="500" w:lineRule="exact"/>
        <w:jc w:val="left"/>
        <w:rPr>
          <w:rFonts w:hint="eastAsia" w:ascii="微软雅黑" w:hAnsi="微软雅黑" w:eastAsia="微软雅黑" w:cs="Times New Roman"/>
          <w:szCs w:val="21"/>
          <w:lang w:val="en-US" w:eastAsia="zh-CN"/>
        </w:rPr>
      </w:pPr>
      <w:r>
        <w:rPr>
          <w:rFonts w:hint="eastAsia" w:ascii="微软雅黑" w:hAnsi="微软雅黑" w:eastAsia="微软雅黑" w:cs="Times New Roman"/>
          <w:szCs w:val="21"/>
        </w:rPr>
        <w:t>邮    箱：</w:t>
      </w:r>
      <w:r>
        <w:rPr>
          <w:rFonts w:hint="eastAsia" w:ascii="微软雅黑" w:hAnsi="微软雅黑" w:eastAsia="微软雅黑" w:cs="Times New Roman"/>
          <w:szCs w:val="21"/>
          <w:lang w:val="en-US" w:eastAsia="zh-CN"/>
        </w:rPr>
        <w:fldChar w:fldCharType="begin"/>
      </w:r>
      <w:r>
        <w:rPr>
          <w:rFonts w:hint="eastAsia" w:ascii="微软雅黑" w:hAnsi="微软雅黑" w:eastAsia="微软雅黑" w:cs="Times New Roman"/>
          <w:szCs w:val="21"/>
          <w:lang w:val="en-US" w:eastAsia="zh-CN"/>
        </w:rPr>
        <w:instrText xml:space="preserve"> HYPERLINK "mailto:pkuyxb@163.com" </w:instrText>
      </w:r>
      <w:r>
        <w:rPr>
          <w:rFonts w:hint="eastAsia" w:ascii="微软雅黑" w:hAnsi="微软雅黑" w:eastAsia="微软雅黑" w:cs="Times New Roman"/>
          <w:szCs w:val="21"/>
          <w:lang w:val="en-US" w:eastAsia="zh-CN"/>
        </w:rPr>
        <w:fldChar w:fldCharType="separate"/>
      </w:r>
      <w:r>
        <w:rPr>
          <w:rFonts w:hint="eastAsia" w:ascii="微软雅黑" w:hAnsi="微软雅黑" w:eastAsia="微软雅黑" w:cs="Times New Roman"/>
          <w:szCs w:val="21"/>
          <w:lang w:val="en-US" w:eastAsia="zh-CN"/>
        </w:rPr>
        <w:t>pkuyxb@163.com</w:t>
      </w:r>
      <w:r>
        <w:rPr>
          <w:rFonts w:hint="eastAsia" w:ascii="微软雅黑" w:hAnsi="微软雅黑" w:eastAsia="微软雅黑" w:cs="Times New Roman"/>
          <w:szCs w:val="21"/>
          <w:lang w:val="en-US" w:eastAsia="zh-CN"/>
        </w:rPr>
        <w:fldChar w:fldCharType="end"/>
      </w:r>
      <w:r>
        <w:rPr>
          <w:rFonts w:hint="eastAsia" w:ascii="微软雅黑" w:hAnsi="微软雅黑" w:eastAsia="微软雅黑" w:cs="Times New Roman"/>
          <w:szCs w:val="21"/>
          <w:lang w:val="en-US" w:eastAsia="zh-CN"/>
        </w:rPr>
        <w:t xml:space="preserve">    </w:t>
      </w:r>
      <w:r>
        <w:rPr>
          <w:rFonts w:hint="eastAsia" w:ascii="微软雅黑" w:hAnsi="微软雅黑" w:eastAsia="微软雅黑" w:cs="Times New Roman"/>
          <w:szCs w:val="21"/>
          <w:lang w:val="en-US" w:eastAsia="zh-CN"/>
        </w:rPr>
        <w:fldChar w:fldCharType="begin"/>
      </w:r>
      <w:r>
        <w:rPr>
          <w:rFonts w:hint="eastAsia" w:ascii="微软雅黑" w:hAnsi="微软雅黑" w:eastAsia="微软雅黑" w:cs="Times New Roman"/>
          <w:szCs w:val="21"/>
          <w:lang w:val="en-US" w:eastAsia="zh-CN"/>
        </w:rPr>
        <w:instrText xml:space="preserve"> HYPERLINK "mailto:137198858@qq.com" </w:instrText>
      </w:r>
      <w:r>
        <w:rPr>
          <w:rFonts w:hint="eastAsia" w:ascii="微软雅黑" w:hAnsi="微软雅黑" w:eastAsia="微软雅黑" w:cs="Times New Roman"/>
          <w:szCs w:val="21"/>
          <w:lang w:val="en-US" w:eastAsia="zh-CN"/>
        </w:rPr>
        <w:fldChar w:fldCharType="separate"/>
      </w:r>
      <w:r>
        <w:rPr>
          <w:rFonts w:hint="eastAsia" w:ascii="微软雅黑" w:hAnsi="微软雅黑" w:eastAsia="微软雅黑" w:cs="Times New Roman"/>
          <w:szCs w:val="21"/>
          <w:lang w:val="en-US" w:eastAsia="zh-CN"/>
        </w:rPr>
        <w:t>137198858@qq.com</w:t>
      </w:r>
      <w:r>
        <w:rPr>
          <w:rFonts w:hint="eastAsia" w:ascii="微软雅黑" w:hAnsi="微软雅黑" w:eastAsia="微软雅黑" w:cs="Times New Roman"/>
          <w:szCs w:val="21"/>
          <w:lang w:val="en-US" w:eastAsia="zh-CN"/>
        </w:rPr>
        <w:fldChar w:fldCharType="end"/>
      </w:r>
    </w:p>
    <w:p>
      <w:pPr>
        <w:spacing w:line="500" w:lineRule="exact"/>
        <w:jc w:val="left"/>
        <w:rPr>
          <w:rFonts w:hint="eastAsia"/>
          <w:b/>
          <w:sz w:val="28"/>
          <w:szCs w:val="28"/>
          <w:lang w:val="en-US" w:eastAsia="zh-CN"/>
        </w:rPr>
      </w:pPr>
      <w:r>
        <w:rPr>
          <w:rFonts w:hint="eastAsia" w:ascii="微软雅黑" w:hAnsi="微软雅黑" w:eastAsia="微软雅黑" w:cs="Times New Roman"/>
          <w:szCs w:val="21"/>
        </w:rPr>
        <w:t>北大研修网：</w:t>
      </w:r>
      <w:r>
        <w:rPr>
          <w:rFonts w:hint="eastAsia" w:ascii="微软雅黑" w:hAnsi="微软雅黑" w:eastAsia="微软雅黑" w:cs="Times New Roman"/>
          <w:szCs w:val="21"/>
        </w:rPr>
        <w:fldChar w:fldCharType="begin"/>
      </w:r>
      <w:r>
        <w:rPr>
          <w:rFonts w:hint="eastAsia" w:ascii="微软雅黑" w:hAnsi="微软雅黑" w:eastAsia="微软雅黑" w:cs="Times New Roman"/>
          <w:szCs w:val="21"/>
        </w:rPr>
        <w:instrText xml:space="preserve"> HYPERLINK "http://tsinghua.embayx.org/" </w:instrText>
      </w:r>
      <w:r>
        <w:rPr>
          <w:rFonts w:hint="eastAsia" w:ascii="微软雅黑" w:hAnsi="微软雅黑" w:eastAsia="微软雅黑" w:cs="Times New Roman"/>
          <w:szCs w:val="21"/>
        </w:rPr>
        <w:fldChar w:fldCharType="separate"/>
      </w:r>
      <w:r>
        <w:rPr>
          <w:rFonts w:hint="eastAsia" w:ascii="微软雅黑" w:hAnsi="微软雅黑" w:eastAsia="微软雅黑" w:cs="Times New Roman"/>
          <w:szCs w:val="21"/>
        </w:rPr>
        <w:t>http://www.pkupxw.org/</w:t>
      </w:r>
      <w:r>
        <w:rPr>
          <w:rFonts w:hint="eastAsia" w:ascii="微软雅黑" w:hAnsi="微软雅黑" w:eastAsia="微软雅黑" w:cs="Times New Roman"/>
          <w:szCs w:val="21"/>
        </w:rPr>
        <w:fldChar w:fldCharType="end"/>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w:t>
      </w:r>
      <w:r>
        <w:rPr>
          <w:rFonts w:ascii="微软雅黑" w:hAnsi="微软雅黑" w:eastAsia="微软雅黑"/>
          <w:b/>
          <w:color w:val="860000"/>
          <w:sz w:val="30"/>
          <w:szCs w:val="30"/>
        </w:rPr>
        <w:t>课程剪影</w:t>
      </w:r>
    </w:p>
    <w:p>
      <w:pPr>
        <w:widowControl/>
        <w:jc w:val="left"/>
        <w:rPr>
          <w:rFonts w:ascii="宋体" w:hAnsi="宋体"/>
          <w:b/>
          <w:sz w:val="28"/>
        </w:rPr>
      </w:pPr>
      <w:r>
        <w:rPr>
          <w:rFonts w:ascii="宋体" w:hAnsi="宋体"/>
          <w:b/>
          <w:sz w:val="28"/>
        </w:rPr>
        <w:drawing>
          <wp:inline distT="0" distB="0" distL="0" distR="0">
            <wp:extent cx="6027420" cy="29578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34058" cy="2960827"/>
                    </a:xfrm>
                    <a:prstGeom prst="rect">
                      <a:avLst/>
                    </a:prstGeom>
                    <a:noFill/>
                  </pic:spPr>
                </pic:pic>
              </a:graphicData>
            </a:graphic>
          </wp:inline>
        </w:drawing>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◆部分学员感言</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来到北大标杆地产班学习，每堂课都是一种享受。每次课程邀请的嘉宾教授都具有深厚的功底和渊博的知识，在课堂上旁征博引、幽默风趣的精彩授课，不仅带给我如文化盛宴般的享受，感受他们在专业领域治学严谨、富有创新探索精神的同时，让我分享了他们在整个地产领域各种问题的深入思考和独到见解以及长期积累的知识硕果，极大地丰富和拓展了自己的知识视野、思维方式，对于自己在今后的工作实践和生活中进一步解放思想，开拓创新，丰富工作方式方法，积极面对新形势新挑战，具有重要指导价值。同时学院也成立了同学会，更能帮助同学之间建立友谊，进行资源整合。</w:t>
      </w:r>
    </w:p>
    <w:p>
      <w:pPr>
        <w:pStyle w:val="7"/>
        <w:widowControl/>
        <w:shd w:val="clear" w:color="auto" w:fill="FFFFFF"/>
        <w:spacing w:before="156" w:beforeLines="50" w:beforeAutospacing="0" w:afterAutospacing="0" w:line="360" w:lineRule="exact"/>
        <w:ind w:firstLine="400" w:firstLineChars="200"/>
        <w:jc w:val="right"/>
        <w:rPr>
          <w:rFonts w:ascii="微软雅黑" w:hAnsi="微软雅黑" w:eastAsia="微软雅黑"/>
          <w:b/>
          <w:kern w:val="2"/>
          <w:sz w:val="22"/>
        </w:rPr>
      </w:pPr>
      <w:r>
        <w:rPr>
          <w:rFonts w:hint="eastAsia" w:ascii="微软雅黑" w:hAnsi="微软雅黑" w:eastAsia="微软雅黑"/>
          <w:kern w:val="2"/>
          <w:sz w:val="20"/>
          <w:szCs w:val="21"/>
        </w:rPr>
        <w:t xml:space="preserve">                </w:t>
      </w:r>
      <w:r>
        <w:rPr>
          <w:rFonts w:hint="eastAsia" w:ascii="微软雅黑" w:hAnsi="微软雅黑" w:eastAsia="微软雅黑"/>
          <w:b/>
          <w:kern w:val="2"/>
          <w:sz w:val="22"/>
        </w:rPr>
        <w:t>——香港铜锣湾集团    侯子剑</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北大标杆地产的学习，使公司和个人都很得到很大收益。课程的安排即有宏观的战略思维，也有业界大咖引领的深入探讨和交流，我们的企业从中学习到很好的经验。班级还成立了同学会，学员之间建立了深厚的友谊，同学们之间的友谊达到了优势共享。感谢标杆地产这么好的学习平台，今后我会十分珍惜这个平台和学习的机会，不断充实自己，提高自己，和同学们共同学习，共同进步。  </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——河南御都集团    蒋海涛</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一晃到北大标杆地产班学习一年多了，在这段时间里最大的感触就是各位教务老师对工作认真负责的精神和对学员企业学习需求有求必应的态度，还有各专业老师渊博的专业知识，我们所学到的专业知识在企业管理实践中得到了验证，实操及落地性非常强。我在这里收获了知识，还结识了很多来自全国各地的好朋友。感谢各位老师的辛勤付出！感谢北大标杆地产平台给我们创造的这么好的学习机会！    </w:t>
      </w:r>
    </w:p>
    <w:p>
      <w:pPr>
        <w:pStyle w:val="7"/>
        <w:widowControl/>
        <w:shd w:val="clear" w:color="auto" w:fill="FFFFFF"/>
        <w:spacing w:before="156" w:beforeLines="50" w:beforeAutospacing="0" w:afterAutospacing="0" w:line="360" w:lineRule="exact"/>
        <w:jc w:val="right"/>
        <w:rPr>
          <w:rFonts w:ascii="微软雅黑" w:hAnsi="微软雅黑" w:eastAsia="微软雅黑"/>
          <w:b/>
          <w:kern w:val="2"/>
          <w:sz w:val="22"/>
        </w:rPr>
      </w:pPr>
      <w:r>
        <w:rPr>
          <w:rFonts w:hint="eastAsia" w:ascii="微软雅黑" w:hAnsi="微软雅黑" w:eastAsia="微软雅黑"/>
          <w:b/>
          <w:kern w:val="2"/>
          <w:sz w:val="22"/>
        </w:rPr>
        <w:t>——河北新东方房地产开发有限公司    刘毅</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公司决定派高管学习地产，三所大学中我们选择了北大标杆班。实践证明我们的决定非常正确，一是班级学习氛围好，组织极有特色;二是课程所选择安排的老师很好，我们受益良多;学习中还结交了近百名优秀的同学，互相学习相互启迪。相信这两年时间我们一定收获满满！</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——山东世纪泰华集团   王亮行</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曾有过MBA及房地产总裁班学习经历，从没有像北大标杆课程这样感觉接地气。标杆班课程安排比较专业、务实，也与时俱进，能及时结合政策更新。北大标杆地产班在给学员提供学习与交流平台的同时，也给学员企业创造了成长发展机会与空间。    </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——天津盛世联行     沈楷然</w:t>
      </w:r>
    </w:p>
    <w:p>
      <w:pPr>
        <w:widowControl/>
        <w:shd w:val="clear" w:color="auto" w:fill="FFFFFF"/>
        <w:spacing w:before="156" w:beforeLines="50" w:line="360" w:lineRule="exact"/>
        <w:ind w:firstLine="420" w:firstLineChars="200"/>
        <w:jc w:val="left"/>
        <w:rPr>
          <w:rFonts w:ascii="微软雅黑" w:hAnsi="微软雅黑" w:eastAsia="微软雅黑"/>
          <w:szCs w:val="21"/>
        </w:rPr>
      </w:pPr>
      <w:r>
        <w:rPr>
          <w:rFonts w:hint="eastAsia" w:ascii="微软雅黑" w:hAnsi="微软雅黑" w:eastAsia="微软雅黑"/>
          <w:szCs w:val="21"/>
        </w:rPr>
        <w:t xml:space="preserve">没上标杆地产班之前，一直想找一个平台系统学习一下房地产管理知识，然后就是偶然的机会进入了这个班级。通过对房地产开发一个全流程的学习，收益良多：一是对房地产开发流程的系统掌握能力更强了，对房地产开发的节点知识理解更透彻了。在这里，大部分教师传授的都是百战总结出来的经验，实操性特别强；二是站在了政策的前沿上，每次国家相关政策的出台，班级课题组均能第一时间安排学习解读解惑；三是收获了一群志同道合的朋友，在以后的事业发展中可以互相指点、相互合作，未来的一切大有可为。     </w:t>
      </w:r>
    </w:p>
    <w:p>
      <w:pPr>
        <w:pStyle w:val="7"/>
        <w:widowControl/>
        <w:shd w:val="clear" w:color="auto" w:fill="FFFFFF"/>
        <w:spacing w:before="156" w:beforeLines="50" w:beforeAutospacing="0" w:afterAutospacing="0" w:line="360" w:lineRule="exact"/>
        <w:ind w:firstLine="400" w:firstLineChars="200"/>
        <w:jc w:val="right"/>
        <w:rPr>
          <w:rFonts w:ascii="微软雅黑" w:hAnsi="微软雅黑" w:eastAsia="微软雅黑"/>
          <w:b/>
          <w:kern w:val="2"/>
          <w:sz w:val="22"/>
        </w:rPr>
      </w:pPr>
      <w:r>
        <w:rPr>
          <w:rFonts w:hint="eastAsia" w:ascii="微软雅黑" w:hAnsi="微软雅黑" w:eastAsia="微软雅黑"/>
          <w:kern w:val="2"/>
          <w:sz w:val="20"/>
          <w:szCs w:val="21"/>
        </w:rPr>
        <w:t xml:space="preserve">  </w:t>
      </w:r>
      <w:r>
        <w:rPr>
          <w:rFonts w:hint="eastAsia" w:ascii="微软雅黑" w:hAnsi="微软雅黑" w:eastAsia="微软雅黑"/>
          <w:b/>
          <w:kern w:val="2"/>
          <w:sz w:val="22"/>
        </w:rPr>
        <w:t>——广西纳川房地产开发有限公司   郑志中</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来到北大标杆地产班， 教学内容上的精心编排，二课的丰富多彩，优秀企业的参访学习，体现了组织上的高度重视和良苦用心。授课的老师们都是其研究领域的前沿代表，他们思想观念和意识境界推陈出新，既有引人深思的深厚学理，又有催人奋进的人生智慧。深邃的理论、跳动的思维浸润着我们的心智，陶冶着我们的胸怀，一些独特的新颖的观点也给了我们心灵的启迪，也给了我们人脉的共享平台，让我收获了真挚的同窗情，感悟频生。感谢北大能提供一个这么好的学习平台。让我把学到的能以最快的速度鉴于实践中！</w:t>
      </w:r>
    </w:p>
    <w:p>
      <w:pPr>
        <w:pStyle w:val="7"/>
        <w:widowControl/>
        <w:shd w:val="clear" w:color="auto" w:fill="FFFFFF"/>
        <w:spacing w:before="156" w:beforeLines="50" w:beforeAutospacing="0" w:afterAutospacing="0" w:line="360" w:lineRule="exact"/>
        <w:ind w:firstLine="440" w:firstLineChars="200"/>
        <w:jc w:val="right"/>
        <w:rPr>
          <w:rFonts w:hint="eastAsia" w:ascii="微软雅黑" w:hAnsi="微软雅黑" w:eastAsia="微软雅黑"/>
          <w:b/>
          <w:kern w:val="2"/>
          <w:sz w:val="22"/>
        </w:rPr>
      </w:pPr>
      <w:r>
        <w:rPr>
          <w:rFonts w:hint="eastAsia" w:ascii="微软雅黑" w:hAnsi="微软雅黑" w:eastAsia="微软雅黑"/>
          <w:b/>
          <w:kern w:val="2"/>
          <w:sz w:val="22"/>
        </w:rPr>
        <w:t>——山东烟台昊麟地产 王乐芬</w:t>
      </w:r>
    </w:p>
    <w:p>
      <w:pPr>
        <w:pStyle w:val="7"/>
        <w:widowControl/>
        <w:shd w:val="clear" w:color="auto" w:fill="FFFFFF"/>
        <w:spacing w:before="156" w:beforeLines="50" w:beforeAutospacing="0" w:afterAutospacing="0" w:line="360" w:lineRule="exact"/>
        <w:ind w:firstLine="440" w:firstLineChars="200"/>
        <w:jc w:val="right"/>
        <w:rPr>
          <w:rFonts w:hint="eastAsia" w:ascii="微软雅黑" w:hAnsi="微软雅黑" w:eastAsia="微软雅黑"/>
          <w:b/>
          <w:kern w:val="2"/>
          <w:sz w:val="22"/>
        </w:rPr>
      </w:pPr>
    </w:p>
    <w:p>
      <w:pPr>
        <w:pStyle w:val="7"/>
        <w:widowControl/>
        <w:shd w:val="clear" w:color="auto" w:fill="FFFFFF"/>
        <w:spacing w:before="156" w:beforeLines="50" w:beforeAutospacing="0" w:afterAutospacing="0" w:line="360" w:lineRule="exact"/>
        <w:ind w:firstLine="1081" w:firstLineChars="300"/>
        <w:jc w:val="both"/>
        <w:rPr>
          <w:rFonts w:hint="eastAsia" w:ascii="微软雅黑" w:hAnsi="微软雅黑" w:eastAsia="微软雅黑"/>
          <w:b/>
          <w:kern w:val="2"/>
          <w:sz w:val="22"/>
        </w:rPr>
      </w:pPr>
      <w:bookmarkStart w:id="0" w:name="_GoBack"/>
      <w:r>
        <w:rPr>
          <w:rFonts w:hint="eastAsia" w:ascii="微软雅黑" w:hAnsi="微软雅黑" w:eastAsia="微软雅黑" w:cs="微软雅黑"/>
          <w:b/>
          <w:color w:val="C00000"/>
          <w:sz w:val="36"/>
          <w:szCs w:val="36"/>
          <w:lang w:eastAsia="zh-CN"/>
        </w:rPr>
        <w:t>北京大学</w:t>
      </w:r>
      <w:r>
        <w:rPr>
          <w:rFonts w:hint="eastAsia" w:ascii="微软雅黑" w:hAnsi="微软雅黑" w:eastAsia="微软雅黑" w:cs="微软雅黑"/>
          <w:b/>
          <w:color w:val="C00000"/>
          <w:sz w:val="36"/>
          <w:szCs w:val="36"/>
        </w:rPr>
        <w:t>标杆房地产</w:t>
      </w:r>
      <w:r>
        <w:rPr>
          <w:rFonts w:hint="eastAsia" w:ascii="微软雅黑" w:hAnsi="微软雅黑" w:eastAsia="微软雅黑" w:cs="微软雅黑"/>
          <w:b/>
          <w:color w:val="C00000"/>
          <w:sz w:val="36"/>
          <w:szCs w:val="36"/>
          <w:lang w:val="en-US" w:eastAsia="zh-CN"/>
        </w:rPr>
        <w:t>EMBA总裁高级</w:t>
      </w:r>
      <w:r>
        <w:rPr>
          <w:rFonts w:hint="eastAsia" w:ascii="微软雅黑" w:hAnsi="微软雅黑" w:eastAsia="微软雅黑" w:cs="微软雅黑"/>
          <w:b/>
          <w:color w:val="C00000"/>
          <w:sz w:val="36"/>
          <w:szCs w:val="36"/>
        </w:rPr>
        <w:t>研修班</w:t>
      </w:r>
      <w:bookmarkEnd w:id="0"/>
    </w:p>
    <w:p>
      <w:pPr>
        <w:spacing w:line="360" w:lineRule="exact"/>
        <w:rPr>
          <w:rFonts w:ascii="微软雅黑" w:hAnsi="微软雅黑" w:eastAsia="微软雅黑"/>
          <w:szCs w:val="21"/>
        </w:rPr>
      </w:pPr>
      <w:r>
        <w:rPr>
          <w:rFonts w:hint="eastAsia" w:ascii="黑体" w:hAnsi="宋体" w:eastAsia="黑体" w:cs="宋体"/>
          <w:bCs/>
          <w:kern w:val="0"/>
          <w:szCs w:val="21"/>
          <w:lang w:val="en-US" w:eastAsia="zh-CN"/>
        </w:rPr>
        <w:t xml:space="preserve"> </w:t>
      </w:r>
      <w:r>
        <w:rPr>
          <w:rFonts w:hint="eastAsia" w:ascii="黑体" w:hAnsi="宋体" w:eastAsia="黑体" w:cs="宋体"/>
          <w:bCs/>
          <w:kern w:val="0"/>
          <w:szCs w:val="21"/>
        </w:rPr>
        <w:t>地点：北京大学</w:t>
      </w:r>
      <w:r>
        <w:rPr>
          <w:rFonts w:hint="eastAsia" w:ascii="黑体" w:hAnsi="宋体" w:eastAsia="黑体" w:cs="宋体"/>
          <w:bCs/>
          <w:kern w:val="0"/>
          <w:szCs w:val="21"/>
          <w:lang w:val="en-US" w:eastAsia="zh-CN"/>
        </w:rPr>
        <w:t xml:space="preserve">                              </w:t>
      </w:r>
      <w:r>
        <w:rPr>
          <w:rFonts w:hint="eastAsia" w:ascii="黑体" w:hAnsi="宋体" w:eastAsia="黑体" w:cs="宋体"/>
          <w:bCs/>
          <w:kern w:val="0"/>
          <w:szCs w:val="21"/>
          <w:lang w:eastAsia="zh-CN"/>
        </w:rPr>
        <w:t>联系人：张老师</w:t>
      </w:r>
      <w:r>
        <w:rPr>
          <w:rFonts w:hint="eastAsia" w:ascii="黑体" w:hAnsi="宋体" w:eastAsia="黑体" w:cs="宋体"/>
          <w:bCs/>
          <w:kern w:val="0"/>
          <w:szCs w:val="21"/>
          <w:lang w:val="en-US" w:eastAsia="zh-CN"/>
        </w:rPr>
        <w:t xml:space="preserve"> 15801019329（微信同号）</w:t>
      </w:r>
    </w:p>
    <w:tbl>
      <w:tblPr>
        <w:tblStyle w:val="12"/>
        <w:tblW w:w="9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668"/>
        <w:gridCol w:w="1276"/>
        <w:gridCol w:w="1135"/>
        <w:gridCol w:w="709"/>
        <w:gridCol w:w="1417"/>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姓   名</w:t>
            </w:r>
          </w:p>
        </w:tc>
        <w:tc>
          <w:tcPr>
            <w:tcW w:w="1668"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性    别</w:t>
            </w:r>
          </w:p>
        </w:tc>
        <w:tc>
          <w:tcPr>
            <w:tcW w:w="1844" w:type="dxa"/>
            <w:gridSpan w:val="2"/>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出生年月</w:t>
            </w:r>
          </w:p>
        </w:tc>
        <w:tc>
          <w:tcPr>
            <w:tcW w:w="1897"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民   族</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最高学历</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专    业</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手机号码</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单位电话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单位传真</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现任职务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担任年限</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r>
              <w:rPr>
                <w:rFonts w:hint="eastAsia" w:ascii="宋体" w:hAnsi="宋体" w:eastAsia="宋体" w:cs="宋体"/>
                <w:bCs/>
                <w:kern w:val="0"/>
                <w:szCs w:val="21"/>
              </w:rPr>
              <w:t>年</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E—MAIL</w:t>
            </w:r>
          </w:p>
        </w:tc>
        <w:tc>
          <w:tcPr>
            <w:tcW w:w="1897" w:type="dxa"/>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身份证号码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单位名称</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单位网址</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单位地址</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邮政编码</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经营范围</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资产规模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年营业额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员工人数</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学习目标</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兴趣、爱好</w:t>
            </w:r>
          </w:p>
        </w:tc>
        <w:tc>
          <w:tcPr>
            <w:tcW w:w="2944"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r>
              <w:rPr>
                <w:rFonts w:hint="eastAsia" w:ascii="宋体" w:hAnsi="宋体" w:eastAsia="宋体" w:cs="宋体"/>
                <w:bCs/>
                <w:kern w:val="0"/>
                <w:szCs w:val="21"/>
              </w:rPr>
              <w:t>文体特长</w:t>
            </w:r>
          </w:p>
        </w:tc>
        <w:tc>
          <w:tcPr>
            <w:tcW w:w="4023"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4"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学习经历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7"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工作经历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您是通过什么途径了解到本招生信息的：</w:t>
            </w:r>
          </w:p>
          <w:p>
            <w:pPr>
              <w:widowControl/>
              <w:jc w:val="left"/>
              <w:rPr>
                <w:rFonts w:ascii="宋体" w:hAnsi="宋体" w:eastAsia="宋体" w:cs="宋体"/>
                <w:bCs/>
                <w:kern w:val="0"/>
                <w:szCs w:val="21"/>
              </w:rPr>
            </w:pPr>
            <w:r>
              <w:rPr>
                <w:rFonts w:hint="eastAsia" w:ascii="宋体" w:hAnsi="宋体" w:eastAsia="宋体" w:cs="宋体"/>
                <w:bCs/>
                <w:kern w:val="0"/>
                <w:szCs w:val="21"/>
              </w:rPr>
              <w:t>□报纸(注明名称):                  □杂志(注明名称):                 □我院网站</w:t>
            </w:r>
          </w:p>
          <w:p>
            <w:pPr>
              <w:widowControl/>
              <w:jc w:val="left"/>
              <w:rPr>
                <w:rFonts w:ascii="宋体" w:hAnsi="宋体" w:eastAsia="宋体" w:cs="宋体"/>
                <w:bCs/>
                <w:kern w:val="0"/>
                <w:szCs w:val="21"/>
              </w:rPr>
            </w:pPr>
            <w:r>
              <w:rPr>
                <w:rFonts w:hint="eastAsia" w:ascii="宋体" w:hAnsi="宋体" w:eastAsia="宋体" w:cs="宋体"/>
                <w:bCs/>
                <w:kern w:val="0"/>
                <w:szCs w:val="21"/>
              </w:rPr>
              <w:t>□其它网站(注明名称):              □我院刊物（院报、院刊等）        □媒体报道</w:t>
            </w:r>
          </w:p>
          <w:p>
            <w:pPr>
              <w:widowControl/>
              <w:jc w:val="left"/>
              <w:rPr>
                <w:rFonts w:ascii="宋体" w:hAnsi="宋体" w:eastAsia="宋体" w:cs="宋体"/>
                <w:bCs/>
                <w:kern w:val="0"/>
                <w:szCs w:val="21"/>
              </w:rPr>
            </w:pPr>
            <w:r>
              <w:rPr>
                <w:rFonts w:hint="eastAsia" w:ascii="宋体" w:hAnsi="宋体" w:eastAsia="宋体" w:cs="宋体"/>
                <w:bCs/>
                <w:kern w:val="0"/>
                <w:szCs w:val="21"/>
              </w:rPr>
              <w:t>□信件                             □其它(注明情况)：</w:t>
            </w:r>
          </w:p>
          <w:p>
            <w:pPr>
              <w:widowControl/>
              <w:jc w:val="left"/>
              <w:rPr>
                <w:rFonts w:ascii="宋体" w:hAnsi="宋体" w:eastAsia="宋体" w:cs="宋体"/>
                <w:bCs/>
                <w:kern w:val="0"/>
                <w:szCs w:val="21"/>
              </w:rPr>
            </w:pPr>
            <w:r>
              <w:rPr>
                <w:rFonts w:hint="eastAsia" w:ascii="宋体" w:hAnsi="宋体" w:eastAsia="宋体" w:cs="宋体"/>
                <w:bCs/>
                <w:kern w:val="0"/>
                <w:szCs w:val="21"/>
              </w:rPr>
              <w:t>□朋友推荐(如推荐人为我院老学员,请务必注明:推荐人姓名   所属班级)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是否需要协助预定住宿:  □否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cs="宋体"/>
                <w:szCs w:val="20"/>
              </w:rPr>
            </w:pPr>
            <w:r>
              <w:rPr>
                <w:rFonts w:hint="eastAsia" w:ascii="Times New Roman" w:hAnsi="Times New Roman" w:eastAsia="宋体" w:cs="宋体"/>
                <w:szCs w:val="20"/>
              </w:rPr>
              <w:t>此表复印或传真均有效，请务必详细真实填写上述信息</w:t>
            </w:r>
          </w:p>
          <w:p>
            <w:pPr>
              <w:widowControl/>
              <w:jc w:val="left"/>
              <w:rPr>
                <w:rFonts w:ascii="宋体" w:hAnsi="宋体" w:eastAsia="宋体" w:cs="宋体"/>
                <w:bCs/>
                <w:kern w:val="0"/>
                <w:szCs w:val="21"/>
              </w:rPr>
            </w:pPr>
            <w:r>
              <w:rPr>
                <w:rFonts w:ascii="宋体" w:hAnsi="宋体" w:eastAsia="宋体" w:cs="宋体"/>
                <w:kern w:val="0"/>
                <w:sz w:val="24"/>
                <w:szCs w:val="24"/>
              </w:rPr>
              <w:t>请将学费通过银行汇入指定运营</w:t>
            </w:r>
            <w:r>
              <w:rPr>
                <w:rFonts w:hint="eastAsia" w:ascii="宋体" w:hAnsi="宋体" w:eastAsia="宋体" w:cs="宋体"/>
                <w:kern w:val="0"/>
                <w:sz w:val="24"/>
                <w:szCs w:val="24"/>
              </w:rPr>
              <w:t>帐户</w:t>
            </w:r>
          </w:p>
          <w:p>
            <w:pPr>
              <w:widowControl/>
              <w:jc w:val="left"/>
              <w:rPr>
                <w:rFonts w:ascii="宋体" w:hAnsi="宋体" w:eastAsia="宋体" w:cs="宋体"/>
                <w:bCs/>
                <w:kern w:val="0"/>
                <w:szCs w:val="21"/>
              </w:rPr>
            </w:pPr>
          </w:p>
        </w:tc>
      </w:tr>
    </w:tbl>
    <w:p>
      <w:pPr>
        <w:spacing w:line="360" w:lineRule="exact"/>
        <w:rPr>
          <w:rFonts w:ascii="微软雅黑" w:hAnsi="微软雅黑" w:eastAsia="微软雅黑"/>
          <w:szCs w:val="21"/>
        </w:rPr>
      </w:pPr>
    </w:p>
    <w:sectPr>
      <w:headerReference r:id="rId4" w:type="first"/>
      <w:headerReference r:id="rId3"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drawing>
        <wp:anchor distT="0" distB="0" distL="114300" distR="114300" simplePos="0" relativeHeight="251658240" behindDoc="1" locked="0" layoutInCell="1" allowOverlap="1">
          <wp:simplePos x="0" y="0"/>
          <wp:positionH relativeFrom="column">
            <wp:posOffset>-685800</wp:posOffset>
          </wp:positionH>
          <wp:positionV relativeFrom="paragraph">
            <wp:posOffset>-406400</wp:posOffset>
          </wp:positionV>
          <wp:extent cx="7629525" cy="513715"/>
          <wp:effectExtent l="0" t="0" r="9525" b="635"/>
          <wp:wrapThrough wrapText="bothSides">
            <wp:wrapPolygon>
              <wp:start x="0" y="0"/>
              <wp:lineTo x="0" y="20826"/>
              <wp:lineTo x="21573" y="20826"/>
              <wp:lineTo x="2157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9525" cy="5137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16"/>
    <w:rsid w:val="00042F29"/>
    <w:rsid w:val="000610F4"/>
    <w:rsid w:val="0006461B"/>
    <w:rsid w:val="000704A0"/>
    <w:rsid w:val="000A33F5"/>
    <w:rsid w:val="000B08DF"/>
    <w:rsid w:val="000B3DE5"/>
    <w:rsid w:val="00101428"/>
    <w:rsid w:val="00105323"/>
    <w:rsid w:val="00121CA0"/>
    <w:rsid w:val="00130853"/>
    <w:rsid w:val="0014238B"/>
    <w:rsid w:val="00175D63"/>
    <w:rsid w:val="00181799"/>
    <w:rsid w:val="00190C6A"/>
    <w:rsid w:val="00197302"/>
    <w:rsid w:val="001C4CD2"/>
    <w:rsid w:val="001C6F77"/>
    <w:rsid w:val="001E1C7F"/>
    <w:rsid w:val="001E5783"/>
    <w:rsid w:val="001F37A0"/>
    <w:rsid w:val="001F5370"/>
    <w:rsid w:val="0020323E"/>
    <w:rsid w:val="00221782"/>
    <w:rsid w:val="00221910"/>
    <w:rsid w:val="00235964"/>
    <w:rsid w:val="00266923"/>
    <w:rsid w:val="002670E5"/>
    <w:rsid w:val="002671B4"/>
    <w:rsid w:val="00270D8C"/>
    <w:rsid w:val="002865FC"/>
    <w:rsid w:val="002936E9"/>
    <w:rsid w:val="00293F4B"/>
    <w:rsid w:val="002951E2"/>
    <w:rsid w:val="002A3128"/>
    <w:rsid w:val="002C1BDE"/>
    <w:rsid w:val="002C47A8"/>
    <w:rsid w:val="002D709A"/>
    <w:rsid w:val="002E52B3"/>
    <w:rsid w:val="002F07AD"/>
    <w:rsid w:val="00300B41"/>
    <w:rsid w:val="003040BA"/>
    <w:rsid w:val="0031043A"/>
    <w:rsid w:val="0032112B"/>
    <w:rsid w:val="00325D83"/>
    <w:rsid w:val="0033010A"/>
    <w:rsid w:val="00375DF9"/>
    <w:rsid w:val="00384D26"/>
    <w:rsid w:val="00386E58"/>
    <w:rsid w:val="00391A49"/>
    <w:rsid w:val="003A0741"/>
    <w:rsid w:val="003A374A"/>
    <w:rsid w:val="003C268A"/>
    <w:rsid w:val="003C2D0D"/>
    <w:rsid w:val="003D14B7"/>
    <w:rsid w:val="00422C21"/>
    <w:rsid w:val="004236FB"/>
    <w:rsid w:val="00424982"/>
    <w:rsid w:val="00426518"/>
    <w:rsid w:val="00443DB4"/>
    <w:rsid w:val="00444D05"/>
    <w:rsid w:val="00461375"/>
    <w:rsid w:val="004661E6"/>
    <w:rsid w:val="004711D3"/>
    <w:rsid w:val="004724AB"/>
    <w:rsid w:val="00475423"/>
    <w:rsid w:val="00492B6F"/>
    <w:rsid w:val="00494DF1"/>
    <w:rsid w:val="004B204F"/>
    <w:rsid w:val="004B27EA"/>
    <w:rsid w:val="004B51F5"/>
    <w:rsid w:val="004C7BA4"/>
    <w:rsid w:val="004D64F0"/>
    <w:rsid w:val="004E2021"/>
    <w:rsid w:val="004E707A"/>
    <w:rsid w:val="005002D7"/>
    <w:rsid w:val="00503674"/>
    <w:rsid w:val="00504519"/>
    <w:rsid w:val="005070CE"/>
    <w:rsid w:val="0051522B"/>
    <w:rsid w:val="00516285"/>
    <w:rsid w:val="005361A2"/>
    <w:rsid w:val="00542466"/>
    <w:rsid w:val="00545393"/>
    <w:rsid w:val="005531A2"/>
    <w:rsid w:val="00553F45"/>
    <w:rsid w:val="00573455"/>
    <w:rsid w:val="0057660E"/>
    <w:rsid w:val="00577C3A"/>
    <w:rsid w:val="005A3658"/>
    <w:rsid w:val="005B0E36"/>
    <w:rsid w:val="005C053A"/>
    <w:rsid w:val="005C5EAC"/>
    <w:rsid w:val="005D0D1D"/>
    <w:rsid w:val="005D37D3"/>
    <w:rsid w:val="005E0CF9"/>
    <w:rsid w:val="00605FDB"/>
    <w:rsid w:val="00651514"/>
    <w:rsid w:val="00663378"/>
    <w:rsid w:val="00671694"/>
    <w:rsid w:val="006A26F4"/>
    <w:rsid w:val="006B4E87"/>
    <w:rsid w:val="006B77F6"/>
    <w:rsid w:val="006D3DC4"/>
    <w:rsid w:val="006F045D"/>
    <w:rsid w:val="006F0877"/>
    <w:rsid w:val="006F521B"/>
    <w:rsid w:val="00702729"/>
    <w:rsid w:val="00731A89"/>
    <w:rsid w:val="0074679B"/>
    <w:rsid w:val="00755E05"/>
    <w:rsid w:val="00783C34"/>
    <w:rsid w:val="007C1F33"/>
    <w:rsid w:val="007E11F6"/>
    <w:rsid w:val="007E7874"/>
    <w:rsid w:val="007E7C5F"/>
    <w:rsid w:val="007F47C1"/>
    <w:rsid w:val="008057E0"/>
    <w:rsid w:val="008118A2"/>
    <w:rsid w:val="00826342"/>
    <w:rsid w:val="00843635"/>
    <w:rsid w:val="00844A10"/>
    <w:rsid w:val="008A0F18"/>
    <w:rsid w:val="008D62E9"/>
    <w:rsid w:val="0090569F"/>
    <w:rsid w:val="00907216"/>
    <w:rsid w:val="00913DEF"/>
    <w:rsid w:val="00924038"/>
    <w:rsid w:val="0093339A"/>
    <w:rsid w:val="00956D43"/>
    <w:rsid w:val="0096085F"/>
    <w:rsid w:val="00962E2B"/>
    <w:rsid w:val="00973F53"/>
    <w:rsid w:val="009D65DA"/>
    <w:rsid w:val="009E62EA"/>
    <w:rsid w:val="00A27706"/>
    <w:rsid w:val="00A40855"/>
    <w:rsid w:val="00A46ED9"/>
    <w:rsid w:val="00A54980"/>
    <w:rsid w:val="00A674DF"/>
    <w:rsid w:val="00A84742"/>
    <w:rsid w:val="00A97756"/>
    <w:rsid w:val="00A97B4A"/>
    <w:rsid w:val="00A97BDA"/>
    <w:rsid w:val="00AA1E89"/>
    <w:rsid w:val="00AF3B2E"/>
    <w:rsid w:val="00B035B8"/>
    <w:rsid w:val="00B138F7"/>
    <w:rsid w:val="00B26749"/>
    <w:rsid w:val="00B61AF3"/>
    <w:rsid w:val="00B61C27"/>
    <w:rsid w:val="00B6666C"/>
    <w:rsid w:val="00B879C4"/>
    <w:rsid w:val="00B87CFA"/>
    <w:rsid w:val="00B9321B"/>
    <w:rsid w:val="00B937DB"/>
    <w:rsid w:val="00BB14A1"/>
    <w:rsid w:val="00BD28E6"/>
    <w:rsid w:val="00BD3700"/>
    <w:rsid w:val="00BE4FCC"/>
    <w:rsid w:val="00BE66A2"/>
    <w:rsid w:val="00C238DF"/>
    <w:rsid w:val="00C33478"/>
    <w:rsid w:val="00C40F0C"/>
    <w:rsid w:val="00C5716D"/>
    <w:rsid w:val="00C70E8D"/>
    <w:rsid w:val="00C714EA"/>
    <w:rsid w:val="00C9551B"/>
    <w:rsid w:val="00CA2670"/>
    <w:rsid w:val="00CA4224"/>
    <w:rsid w:val="00D10564"/>
    <w:rsid w:val="00D23292"/>
    <w:rsid w:val="00D36005"/>
    <w:rsid w:val="00D37714"/>
    <w:rsid w:val="00D63F5E"/>
    <w:rsid w:val="00D77955"/>
    <w:rsid w:val="00D824B6"/>
    <w:rsid w:val="00D834B0"/>
    <w:rsid w:val="00D83839"/>
    <w:rsid w:val="00DC073B"/>
    <w:rsid w:val="00DC2880"/>
    <w:rsid w:val="00DD647F"/>
    <w:rsid w:val="00DF6FAA"/>
    <w:rsid w:val="00E2096F"/>
    <w:rsid w:val="00E607BB"/>
    <w:rsid w:val="00E716FA"/>
    <w:rsid w:val="00E7582A"/>
    <w:rsid w:val="00E847B4"/>
    <w:rsid w:val="00E85925"/>
    <w:rsid w:val="00EE1638"/>
    <w:rsid w:val="00EF5C1D"/>
    <w:rsid w:val="00F00892"/>
    <w:rsid w:val="00F03AA8"/>
    <w:rsid w:val="00F06088"/>
    <w:rsid w:val="00F14AAD"/>
    <w:rsid w:val="00F27CB5"/>
    <w:rsid w:val="00F3525E"/>
    <w:rsid w:val="00F4619F"/>
    <w:rsid w:val="00F57480"/>
    <w:rsid w:val="00F75ACE"/>
    <w:rsid w:val="00F90042"/>
    <w:rsid w:val="00FB7F49"/>
    <w:rsid w:val="00FC593C"/>
    <w:rsid w:val="00FC6552"/>
    <w:rsid w:val="00FD2363"/>
    <w:rsid w:val="00FD3B4A"/>
    <w:rsid w:val="3FD6387B"/>
    <w:rsid w:val="71D1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8"/>
    <w:semiHidden/>
    <w:unhideWhenUsed/>
    <w:uiPriority w:val="99"/>
    <w:rPr>
      <w:b/>
      <w:bCs/>
    </w:rPr>
  </w:style>
  <w:style w:type="paragraph" w:styleId="3">
    <w:name w:val="annotation text"/>
    <w:basedOn w:val="1"/>
    <w:link w:val="17"/>
    <w:semiHidden/>
    <w:unhideWhenUsed/>
    <w:uiPriority w:val="99"/>
    <w:pPr>
      <w:jc w:val="left"/>
    </w:pPr>
  </w:style>
  <w:style w:type="paragraph" w:styleId="4">
    <w:name w:val="Balloon Text"/>
    <w:basedOn w:val="1"/>
    <w:link w:val="16"/>
    <w:semiHidden/>
    <w:unhideWhenUsed/>
    <w:uiPriority w:val="99"/>
    <w:rPr>
      <w:sz w:val="18"/>
      <w:szCs w:val="18"/>
    </w:r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ascii="Times New Roman" w:hAnsi="Times New Roman"/>
      <w:kern w:val="0"/>
      <w:sz w:val="24"/>
      <w:szCs w:val="24"/>
    </w:r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character" w:styleId="11">
    <w:name w:val="annotation reference"/>
    <w:basedOn w:val="8"/>
    <w:semiHidden/>
    <w:unhideWhenUsed/>
    <w:uiPriority w:val="99"/>
    <w:rPr>
      <w:sz w:val="21"/>
      <w:szCs w:val="21"/>
    </w:rPr>
  </w:style>
  <w:style w:type="table" w:styleId="13">
    <w:name w:val="Table Grid"/>
    <w:basedOn w:val="1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列出段落1"/>
    <w:basedOn w:val="1"/>
    <w:qFormat/>
    <w:uiPriority w:val="34"/>
    <w:pPr>
      <w:ind w:firstLine="420" w:firstLineChars="200"/>
    </w:pPr>
  </w:style>
  <w:style w:type="paragraph" w:styleId="15">
    <w:name w:val="List Paragraph"/>
    <w:basedOn w:val="1"/>
    <w:qFormat/>
    <w:uiPriority w:val="34"/>
    <w:pPr>
      <w:ind w:firstLine="420" w:firstLineChars="200"/>
    </w:pPr>
  </w:style>
  <w:style w:type="character" w:customStyle="1" w:styleId="16">
    <w:name w:val="批注框文本 Char"/>
    <w:basedOn w:val="8"/>
    <w:link w:val="4"/>
    <w:semiHidden/>
    <w:uiPriority w:val="99"/>
    <w:rPr>
      <w:rFonts w:ascii="Calibri" w:hAnsi="Calibri" w:eastAsia="宋体" w:cs="Times New Roman"/>
      <w:sz w:val="18"/>
      <w:szCs w:val="18"/>
    </w:rPr>
  </w:style>
  <w:style w:type="character" w:customStyle="1" w:styleId="17">
    <w:name w:val="批注文字 Char"/>
    <w:basedOn w:val="8"/>
    <w:link w:val="3"/>
    <w:semiHidden/>
    <w:uiPriority w:val="99"/>
    <w:rPr>
      <w:rFonts w:ascii="Calibri" w:hAnsi="Calibri" w:eastAsia="宋体" w:cs="Times New Roman"/>
    </w:rPr>
  </w:style>
  <w:style w:type="character" w:customStyle="1" w:styleId="18">
    <w:name w:val="批注主题 Char"/>
    <w:basedOn w:val="17"/>
    <w:link w:val="2"/>
    <w:semiHidden/>
    <w:uiPriority w:val="99"/>
    <w:rPr>
      <w:rFonts w:ascii="Calibri" w:hAnsi="Calibri" w:eastAsia="宋体" w:cs="Times New Roman"/>
      <w:b/>
      <w:bCs/>
    </w:rPr>
  </w:style>
  <w:style w:type="character" w:customStyle="1" w:styleId="19">
    <w:name w:val="页眉 Char"/>
    <w:basedOn w:val="8"/>
    <w:link w:val="6"/>
    <w:uiPriority w:val="99"/>
    <w:rPr>
      <w:rFonts w:ascii="Calibri" w:hAnsi="Calibri" w:eastAsia="宋体" w:cs="Times New Roman"/>
      <w:sz w:val="18"/>
      <w:szCs w:val="18"/>
    </w:rPr>
  </w:style>
  <w:style w:type="character" w:customStyle="1" w:styleId="20">
    <w:name w:val="页脚 Char"/>
    <w:basedOn w:val="8"/>
    <w:link w:val="5"/>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533BF-124A-47A4-AE64-E235516E107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901</Words>
  <Characters>5141</Characters>
  <Lines>42</Lines>
  <Paragraphs>12</Paragraphs>
  <TotalTime>1</TotalTime>
  <ScaleCrop>false</ScaleCrop>
  <LinksUpToDate>false</LinksUpToDate>
  <CharactersWithSpaces>6030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2018-03-23T03:29:00Z</dcterms:created>
  <dc:creator>2355259477@qq.com</dc:creator>
  <cp:lastModifiedBy>Administrator</cp:lastModifiedBy>
  <cp:lastPrinted>2018-05-30T07:17:00Z</cp:lastPrinted>
  <dcterms:modified xsi:type="dcterms:W3CDTF">2018-06-04T04:10:24Z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